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10-K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fiscal year ended December 31, 2025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For the transition period from</w:t>
      </w:r>
      <w:r>
        <w:rPr>
          <w:color w:val="000000"/>
        </w:rPr>
        <w:t xml:space="preserve">                          </w:t>
      </w:r>
      <w:r>
        <w:rPr>
          <w:rFonts w:ascii="Times New Roman;serif" w:hAnsi="Times New Roman;serif"/>
          <w:b/>
          <w:color w:val="000000"/>
          <w:sz w:val="18"/>
        </w:rPr>
        <w:t>to</w:t>
      </w:r>
      <w:r>
        <w:rPr>
          <w:color w:val="000000"/>
        </w:rPr>
        <w:t xml:space="preserve">                         </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001-38358 </w:t>
      </w:r>
    </w:p>
    <w:p>
      <w:pPr>
        <w:pStyle w:val="TextBody"/>
        <w:bidi w:val="0"/>
        <w:spacing w:lineRule="auto" w:line="288" w:before="40" w:after="283"/>
        <w:jc w:val="center"/>
        <w:rPr>
          <w:rFonts w:ascii="Times New Roman;serif" w:hAnsi="Times New Roman;serif"/>
          <w:b/>
          <w:color w:val="000000"/>
          <w:sz w:val="40"/>
        </w:rPr>
      </w:pPr>
      <w:r>
        <w:rPr>
          <w:rFonts w:ascii="Times New Roman;serif" w:hAnsi="Times New Roman;serif"/>
          <w:b/>
          <w:color w:val="000000"/>
          <w:sz w:val="40"/>
        </w:rPr>
        <w:t xml:space="preserve">INSEEGO CORP.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822" w:type="dxa"/>
        <w:jc w:val="left"/>
        <w:tblInd w:w="0" w:type="dxa"/>
        <w:tblLayout w:type="fixed"/>
        <w:tblCellMar>
          <w:top w:w="28" w:type="dxa"/>
          <w:left w:w="28" w:type="dxa"/>
          <w:bottom w:w="28" w:type="dxa"/>
          <w:right w:w="28" w:type="dxa"/>
        </w:tblCellMar>
      </w:tblPr>
      <w:tblGrid>
        <w:gridCol w:w="555"/>
        <w:gridCol w:w="488"/>
        <w:gridCol w:w="488"/>
        <w:gridCol w:w="488"/>
        <w:gridCol w:w="488"/>
        <w:gridCol w:w="504"/>
        <w:gridCol w:w="109"/>
        <w:gridCol w:w="109"/>
        <w:gridCol w:w="109"/>
        <w:gridCol w:w="433"/>
        <w:gridCol w:w="433"/>
        <w:gridCol w:w="618"/>
      </w:tblGrid>
      <w:tr>
        <w:trPr/>
        <w:tc>
          <w:tcPr>
            <w:tcW w:w="55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81-3377646</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9710 Scranton Road, Suite 200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San Diego, </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 w:after="12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(858) 812-3400 </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INSG</w:t>
            </w:r>
          </w:p>
        </w:tc>
        <w:tc>
          <w:tcPr>
            <w:tcW w:w="3825"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r>
        <w:trPr/>
        <w:tc>
          <w:tcPr>
            <w:tcW w:w="2834"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3825"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12(g) of the Act: </w:t>
      </w: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None</w:t>
      </w:r>
    </w:p>
    <w:p>
      <w:pPr>
        <w:pStyle w:val="TextBody"/>
        <w:bidi w:val="0"/>
        <w:spacing w:lineRule="auto" w:line="288" w:before="80" w:after="283"/>
        <w:ind w:left="0" w:right="0" w:firstLine="360"/>
        <w:jc w:val="left"/>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80" w:after="283"/>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8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 its audit report. </w:t>
      </w:r>
      <w:r>
        <w:rPr>
          <w:color w:val="000000"/>
        </w:rPr>
        <w:t>☒</w:t>
      </w:r>
    </w:p>
    <w:p>
      <w:pPr>
        <w:pStyle w:val="TextBody"/>
        <w:bidi w:val="0"/>
        <w:spacing w:lineRule="auto" w:line="276" w:before="180" w:after="180"/>
        <w:ind w:left="0" w:right="0" w:firstLine="36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76" w:before="180" w:after="180"/>
        <w:ind w:left="0" w:right="0" w:firstLine="360"/>
        <w:jc w:val="left"/>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sans-serif" w:hAnsi="Wingdings;sans-serif"/>
          <w:b w:val="false"/>
          <w:color w:val="000000"/>
          <w:sz w:val="18"/>
        </w:rPr>
        <w:t>o</w:t>
      </w:r>
    </w:p>
    <w:p>
      <w:pPr>
        <w:pStyle w:val="TextBody"/>
        <w:bidi w:val="0"/>
        <w:spacing w:lineRule="auto" w:line="288" w:before="80" w:after="283"/>
        <w:ind w:left="0" w:right="0" w:firstLine="360"/>
        <w:jc w:val="left"/>
        <w:rPr/>
      </w:pP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8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aggregate market value of the voting common stock held by non-affiliates of the registrant, based on the closing price of the registrant’s common stock on June 30, 2025, as reported by The Nasdaq Global Select Market, was approximately $88.2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common stock outstanding.</w:t>
      </w:r>
    </w:p>
    <w:p>
      <w:pPr>
        <w:pStyle w:val="TextBody"/>
        <w:bidi w:val="0"/>
        <w:spacing w:lineRule="auto" w:line="288" w:before="8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as of February 13, 2026 was 16,218,934.</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for the 2026 Annual Meeting of Stockholders, to be filed with the Securities and Exchange Commission pursuant to Regulation 14A within 120 days after the close of the registrant’s fiscal year ended December 31, 2025, are incorporated by reference into Part III of this Form 10-K to the extent stated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2961"/>
        <w:gridCol w:w="2952"/>
        <w:gridCol w:w="2969"/>
        <w:gridCol w:w="149"/>
        <w:gridCol w:w="149"/>
        <w:gridCol w:w="21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6">
              <w:r>
                <w:rPr>
                  <w:rStyle w:val="InternetLink"/>
                  <w:rFonts w:ascii="Times New Roman;serif" w:hAnsi="Times New Roman;serif"/>
                  <w:b w:val="false"/>
                  <w:strike w:val="false"/>
                  <w:dstrike w:val="false"/>
                  <w:color w:val="0000FF"/>
                  <w:sz w:val="20"/>
                  <w:u w:val="none"/>
                  <w:effect w:val="non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16">
              <w:r>
                <w:rPr>
                  <w:rStyle w:val="InternetLink"/>
                  <w:rFonts w:ascii="Times New Roman;serif" w:hAnsi="Times New Roman;serif"/>
                  <w:b w:val="false"/>
                  <w:strike w:val="false"/>
                  <w:dstrike w:val="false"/>
                  <w:color w:val="0000FF"/>
                  <w:sz w:val="20"/>
                  <w:u w:val="none"/>
                  <w:effect w:val="non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9">
              <w:r>
                <w:rPr>
                  <w:rStyle w:val="InternetLink"/>
                  <w:rFonts w:ascii="Times New Roman;serif" w:hAnsi="Times New Roman;serif"/>
                  <w:b w:val="false"/>
                  <w:strike w:val="false"/>
                  <w:dstrike w:val="false"/>
                  <w:color w:val="0000FF"/>
                  <w:sz w:val="20"/>
                  <w:u w:val="none"/>
                  <w:effect w:val="non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19">
              <w:r>
                <w:rPr>
                  <w:rStyle w:val="InternetLink"/>
                  <w:rFonts w:ascii="Times New Roman;serif" w:hAnsi="Times New Roman;serif"/>
                  <w:b w:val="false"/>
                  <w:strike w:val="false"/>
                  <w:dstrike w:val="false"/>
                  <w:color w:val="0000FF"/>
                  <w:sz w:val="20"/>
                  <w:u w:val="none"/>
                  <w:effect w:val="none"/>
                </w:rPr>
                <w:t>10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22">
              <w:r>
                <w:rPr>
                  <w:rStyle w:val="InternetLink"/>
                  <w:rFonts w:ascii="Times New Roman;serif" w:hAnsi="Times New Roman;serif"/>
                  <w:b w:val="false"/>
                  <w:strike w:val="false"/>
                  <w:dstrike w:val="false"/>
                  <w:color w:val="0000FF"/>
                  <w:sz w:val="20"/>
                  <w:u w:val="none"/>
                  <w:effect w:val="non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22">
              <w:r>
                <w:rPr>
                  <w:rStyle w:val="InternetLink"/>
                  <w:rFonts w:ascii="Times New Roman;serif" w:hAnsi="Times New Roman;serif"/>
                  <w:b w:val="false"/>
                  <w:strike w:val="false"/>
                  <w:dstrike w:val="false"/>
                  <w:color w:val="0000FF"/>
                  <w:sz w:val="20"/>
                  <w:u w:val="none"/>
                  <w:effect w:val="none"/>
                </w:rPr>
                <w:t>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25">
              <w:r>
                <w:rPr>
                  <w:rStyle w:val="InternetLink"/>
                  <w:rFonts w:ascii="Times New Roman;serif" w:hAnsi="Times New Roman;serif"/>
                  <w:b w:val="false"/>
                  <w:strike w:val="false"/>
                  <w:dstrike w:val="false"/>
                  <w:color w:val="0000FF"/>
                  <w:sz w:val="20"/>
                  <w:u w:val="none"/>
                  <w:effect w:val="none"/>
                </w:rPr>
                <w:t>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25">
              <w:r>
                <w:rPr>
                  <w:rStyle w:val="InternetLink"/>
                  <w:rFonts w:ascii="Times New Roman;serif" w:hAnsi="Times New Roman;serif"/>
                  <w:b w:val="false"/>
                  <w:strike w:val="false"/>
                  <w:dstrike w:val="false"/>
                  <w:color w:val="0000FF"/>
                  <w:sz w:val="20"/>
                  <w:u w:val="none"/>
                  <w:effect w:val="none"/>
                </w:rPr>
                <w:t>27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28">
              <w:r>
                <w:rPr>
                  <w:rStyle w:val="InternetLink"/>
                  <w:rFonts w:ascii="Times New Roman;serif" w:hAnsi="Times New Roman;serif"/>
                  <w:b w:val="false"/>
                  <w:strike w:val="false"/>
                  <w:dstrike w:val="false"/>
                  <w:color w:val="0000FF"/>
                  <w:sz w:val="20"/>
                  <w:u w:val="none"/>
                  <w:effect w:val="non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28">
              <w:r>
                <w:rPr>
                  <w:rStyle w:val="InternetLink"/>
                  <w:rFonts w:ascii="Times New Roman;serif" w:hAnsi="Times New Roman;serif"/>
                  <w:b w:val="false"/>
                  <w:strike w:val="false"/>
                  <w:dstrike w:val="false"/>
                  <w:color w:val="0000FF"/>
                  <w:sz w:val="20"/>
                  <w:u w:val="none"/>
                  <w:effect w:val="non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31">
              <w:r>
                <w:rPr>
                  <w:rStyle w:val="InternetLink"/>
                  <w:rFonts w:ascii="Times New Roman;serif" w:hAnsi="Times New Roman;serif"/>
                  <w:b w:val="false"/>
                  <w:strike w:val="false"/>
                  <w:dstrike w:val="false"/>
                  <w:color w:val="0000FF"/>
                  <w:sz w:val="20"/>
                  <w:u w:val="none"/>
                  <w:effect w:val="non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31">
              <w:r>
                <w:rPr>
                  <w:rStyle w:val="InternetLink"/>
                  <w:rFonts w:ascii="Times New Roman;serif" w:hAnsi="Times New Roman;serif"/>
                  <w:b w:val="false"/>
                  <w:strike w:val="false"/>
                  <w:dstrike w:val="false"/>
                  <w:color w:val="0000FF"/>
                  <w:sz w:val="20"/>
                  <w:u w:val="none"/>
                  <w:effect w:val="none"/>
                </w:rPr>
                <w:t>29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34">
              <w:r>
                <w:rPr>
                  <w:rStyle w:val="InternetLink"/>
                  <w:rFonts w:ascii="Times New Roman;serif" w:hAnsi="Times New Roman;serif"/>
                  <w:b w:val="false"/>
                  <w:strike w:val="false"/>
                  <w:dstrike w:val="false"/>
                  <w:color w:val="0000FF"/>
                  <w:sz w:val="20"/>
                  <w:u w:val="none"/>
                  <w:effect w:val="non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34">
              <w:r>
                <w:rPr>
                  <w:rStyle w:val="InternetLink"/>
                  <w:rFonts w:ascii="Times New Roman;serif" w:hAnsi="Times New Roman;serif"/>
                  <w:b w:val="false"/>
                  <w:strike w:val="false"/>
                  <w:dstrike w:val="false"/>
                  <w:color w:val="0000FF"/>
                  <w:sz w:val="20"/>
                  <w:u w:val="none"/>
                  <w:effect w:val="none"/>
                </w:rPr>
                <w:t>29</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40">
              <w:r>
                <w:rPr>
                  <w:rStyle w:val="InternetLink"/>
                  <w:rFonts w:ascii="Times New Roman;serif" w:hAnsi="Times New Roman;serif"/>
                  <w:b w:val="false"/>
                  <w:strike w:val="false"/>
                  <w:dstrike w:val="false"/>
                  <w:color w:val="0000FF"/>
                  <w:sz w:val="20"/>
                  <w:u w:val="none"/>
                  <w:effect w:val="non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40">
              <w:r>
                <w:rPr>
                  <w:rStyle w:val="InternetLink"/>
                  <w:rFonts w:ascii="Times New Roman;serif" w:hAnsi="Times New Roman;serif"/>
                  <w:b w:val="false"/>
                  <w:strike w:val="false"/>
                  <w:dstrike w:val="false"/>
                  <w:color w:val="0000FF"/>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43">
              <w:r>
                <w:rPr>
                  <w:rStyle w:val="InternetLink"/>
                  <w:rFonts w:ascii="Times New Roman;serif" w:hAnsi="Times New Roman;serif"/>
                  <w:b w:val="false"/>
                  <w:strike w:val="false"/>
                  <w:dstrike w:val="false"/>
                  <w:color w:val="0000FF"/>
                  <w:sz w:val="20"/>
                  <w:u w:val="none"/>
                  <w:effect w:val="non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43">
              <w:r>
                <w:rPr>
                  <w:rStyle w:val="InternetLink"/>
                  <w:rFonts w:ascii="Times New Roman;serif" w:hAnsi="Times New Roman;serif"/>
                  <w:b w:val="false"/>
                  <w:strike w:val="false"/>
                  <w:dstrike w:val="false"/>
                  <w:color w:val="0000FF"/>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46">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46">
              <w:r>
                <w:rPr>
                  <w:rStyle w:val="InternetLink"/>
                  <w:rFonts w:ascii="Times New Roman;serif" w:hAnsi="Times New Roman;serif"/>
                  <w:b w:val="false"/>
                  <w:strike w:val="false"/>
                  <w:dstrike w:val="false"/>
                  <w:color w:val="0000FF"/>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52">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52">
              <w:r>
                <w:rPr>
                  <w:rStyle w:val="InternetLink"/>
                  <w:rFonts w:ascii="Times New Roman;serif" w:hAnsi="Times New Roman;serif"/>
                  <w:b w:val="false"/>
                  <w:strike w:val="false"/>
                  <w:dstrike w:val="false"/>
                  <w:color w:val="0000FF"/>
                  <w:sz w:val="20"/>
                  <w:u w:val="none"/>
                  <w:effect w:val="non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55">
              <w:r>
                <w:rPr>
                  <w:rStyle w:val="InternetLink"/>
                  <w:rFonts w:ascii="Times New Roman;serif" w:hAnsi="Times New Roman;serif"/>
                  <w:b w:val="false"/>
                  <w:strike w:val="false"/>
                  <w:dstrike w:val="false"/>
                  <w:color w:val="0000FF"/>
                  <w:sz w:val="20"/>
                  <w:u w:val="none"/>
                  <w:effect w:val="non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55">
              <w:r>
                <w:rPr>
                  <w:rStyle w:val="InternetLink"/>
                  <w:rFonts w:ascii="Times New Roman;serif" w:hAnsi="Times New Roman;serif"/>
                  <w:b w:val="false"/>
                  <w:strike w:val="false"/>
                  <w:dstrike w:val="false"/>
                  <w:color w:val="0000FF"/>
                  <w:sz w:val="20"/>
                  <w:u w:val="none"/>
                  <w:effect w:val="non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58">
              <w:r>
                <w:rPr>
                  <w:rStyle w:val="InternetLink"/>
                  <w:rFonts w:ascii="Times New Roman;serif" w:hAnsi="Times New Roman;serif"/>
                  <w:b w:val="false"/>
                  <w:strike w:val="false"/>
                  <w:dstrike w:val="false"/>
                  <w:color w:val="0000FF"/>
                  <w:sz w:val="20"/>
                  <w:u w:val="none"/>
                  <w:effect w:val="non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58">
              <w:r>
                <w:rPr>
                  <w:rStyle w:val="InternetLink"/>
                  <w:rFonts w:ascii="Times New Roman;serif" w:hAnsi="Times New Roman;serif"/>
                  <w:b w:val="false"/>
                  <w:strike w:val="false"/>
                  <w:dstrike w:val="false"/>
                  <w:color w:val="0000FF"/>
                  <w:sz w:val="20"/>
                  <w:u w:val="none"/>
                  <w:effect w:val="non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61">
              <w:r>
                <w:rPr>
                  <w:rStyle w:val="InternetLink"/>
                  <w:rFonts w:ascii="Times New Roman;serif" w:hAnsi="Times New Roman;serif"/>
                  <w:b w:val="false"/>
                  <w:strike w:val="false"/>
                  <w:dstrike w:val="false"/>
                  <w:color w:val="0000FF"/>
                  <w:sz w:val="20"/>
                  <w:u w:val="none"/>
                  <w:effect w:val="non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61">
              <w:r>
                <w:rPr>
                  <w:rStyle w:val="InternetLink"/>
                  <w:rFonts w:ascii="Times New Roman;serif" w:hAnsi="Times New Roman;serif"/>
                  <w:b w:val="false"/>
                  <w:strike w:val="false"/>
                  <w:dstrike w:val="false"/>
                  <w:color w:val="0000FF"/>
                  <w:sz w:val="20"/>
                  <w:u w:val="none"/>
                  <w:effect w:val="none"/>
                </w:rPr>
                <w:t>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64">
              <w:r>
                <w:rPr>
                  <w:rStyle w:val="InternetLink"/>
                  <w:rFonts w:ascii="Times New Roman;serif" w:hAnsi="Times New Roman;serif"/>
                  <w:b w:val="false"/>
                  <w:strike w:val="false"/>
                  <w:dstrike w:val="false"/>
                  <w:color w:val="0000FF"/>
                  <w:sz w:val="20"/>
                  <w:u w:val="none"/>
                  <w:effect w:val="non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67">
              <w:r>
                <w:rPr>
                  <w:rStyle w:val="InternetLink"/>
                  <w:rFonts w:ascii="Times New Roman;serif" w:hAnsi="Times New Roman;serif"/>
                  <w:b w:val="false"/>
                  <w:strike w:val="false"/>
                  <w:dstrike w:val="false"/>
                  <w:color w:val="0000FF"/>
                  <w:sz w:val="20"/>
                  <w:u w:val="none"/>
                  <w:effect w:val="none"/>
                </w:rPr>
                <w:t>42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70">
              <w:r>
                <w:rPr>
                  <w:rStyle w:val="InternetLink"/>
                  <w:rFonts w:ascii="Times New Roman;serif" w:hAnsi="Times New Roman;serif"/>
                  <w:b w:val="false"/>
                  <w:strike w:val="false"/>
                  <w:dstrike w:val="false"/>
                  <w:color w:val="0000FF"/>
                  <w:sz w:val="20"/>
                  <w:u w:val="none"/>
                  <w:effect w:val="non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0">
              <w:r>
                <w:rPr>
                  <w:rStyle w:val="InternetLink"/>
                  <w:rFonts w:ascii="Times New Roman;serif" w:hAnsi="Times New Roman;serif"/>
                  <w:b w:val="false"/>
                  <w:strike w:val="false"/>
                  <w:dstrike w:val="false"/>
                  <w:color w:val="0000FF"/>
                  <w:sz w:val="20"/>
                  <w:u w:val="none"/>
                  <w:effect w:val="none"/>
                </w:rPr>
                <w:t>42</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76">
              <w:r>
                <w:rPr>
                  <w:rStyle w:val="InternetLink"/>
                  <w:rFonts w:ascii="Times New Roman;serif" w:hAnsi="Times New Roman;serif"/>
                  <w:b w:val="false"/>
                  <w:strike w:val="false"/>
                  <w:dstrike w:val="false"/>
                  <w:color w:val="0000FF"/>
                  <w:sz w:val="20"/>
                  <w:u w:val="none"/>
                  <w:effect w:val="non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6">
              <w:r>
                <w:rPr>
                  <w:rStyle w:val="InternetLink"/>
                  <w:rFonts w:ascii="Times New Roman;serif" w:hAnsi="Times New Roman;serif"/>
                  <w:b w:val="false"/>
                  <w:strike w:val="false"/>
                  <w:dstrike w:val="false"/>
                  <w:color w:val="0000FF"/>
                  <w:sz w:val="20"/>
                  <w:u w:val="none"/>
                  <w:effect w:val="non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Executive Compensation</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6">
              <w:r>
                <w:rPr>
                  <w:rStyle w:val="InternetLink"/>
                  <w:rFonts w:ascii="Times New Roman;serif" w:hAnsi="Times New Roman;serif"/>
                  <w:b w:val="false"/>
                  <w:strike w:val="false"/>
                  <w:dstrike w:val="false"/>
                  <w:color w:val="0000FF"/>
                  <w:sz w:val="20"/>
                  <w:u w:val="none"/>
                  <w:effect w:val="non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Security Ownership of Certain Beneficial Owners and Management and Related Stockholder Matters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6">
              <w:r>
                <w:rPr>
                  <w:rStyle w:val="InternetLink"/>
                  <w:rFonts w:ascii="Times New Roman;serif" w:hAnsi="Times New Roman;serif"/>
                  <w:b w:val="false"/>
                  <w:strike w:val="false"/>
                  <w:dstrike w:val="false"/>
                  <w:color w:val="0000FF"/>
                  <w:sz w:val="20"/>
                  <w:u w:val="none"/>
                  <w:effect w:val="non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rPr>
            </w:pPr>
            <w:r>
              <w:rPr>
                <w:rFonts w:ascii="Times New Roman;serif" w:hAnsi="Times New Roman;serif"/>
                <w:b w:val="false"/>
                <w:color w:val="0000FF"/>
                <w:sz w:val="20"/>
              </w:rPr>
              <w:t>Certain Relationships and Related Transactions, and Director Independence</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6">
              <w:r>
                <w:rPr>
                  <w:rStyle w:val="InternetLink"/>
                  <w:rFonts w:ascii="Times New Roman;serif" w:hAnsi="Times New Roman;serif"/>
                  <w:b w:val="false"/>
                  <w:strike w:val="false"/>
                  <w:dstrike w:val="false"/>
                  <w:color w:val="0000FF"/>
                  <w:sz w:val="20"/>
                  <w:u w:val="none"/>
                  <w:effect w:val="none"/>
                </w:rPr>
                <w:t>43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76">
              <w:r>
                <w:rPr>
                  <w:rStyle w:val="InternetLink"/>
                  <w:rFonts w:ascii="Times New Roman;serif" w:hAnsi="Times New Roman;serif"/>
                  <w:b w:val="false"/>
                  <w:strike w:val="false"/>
                  <w:dstrike w:val="false"/>
                  <w:color w:val="0000FF"/>
                  <w:sz w:val="20"/>
                  <w:u w:val="none"/>
                  <w:effect w:val="none"/>
                </w:rPr>
                <w:t>Principal Accountant Fees and Services</w:t>
              </w:r>
            </w:hyperlink>
          </w:p>
          <w:p>
            <w:pPr>
              <w:pStyle w:val="TableContents"/>
              <w:bidi w:val="0"/>
              <w:spacing w:before="0" w:after="0"/>
              <w:jc w:val="left"/>
              <w:rPr/>
            </w:pPr>
            <w:r>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76">
              <w:r>
                <w:rPr>
                  <w:rStyle w:val="InternetLink"/>
                  <w:rFonts w:ascii="Times New Roman;serif" w:hAnsi="Times New Roman;serif"/>
                  <w:b w:val="false"/>
                  <w:strike w:val="false"/>
                  <w:dstrike w:val="false"/>
                  <w:color w:val="0000FF"/>
                  <w:sz w:val="20"/>
                  <w:u w:val="none"/>
                  <w:effect w:val="none"/>
                </w:rPr>
                <w:t>43</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82">
              <w:r>
                <w:rPr>
                  <w:rStyle w:val="InternetLink"/>
                  <w:rFonts w:ascii="Times New Roman;serif" w:hAnsi="Times New Roman;serif"/>
                  <w:b w:val="false"/>
                  <w:strike w:val="false"/>
                  <w:dstrike w:val="false"/>
                  <w:color w:val="0000FF"/>
                  <w:sz w:val="20"/>
                  <w:u w:val="none"/>
                  <w:effect w:val="none"/>
                </w:rPr>
                <w:t>Exhibit and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82">
              <w:r>
                <w:rPr>
                  <w:rStyle w:val="InternetLink"/>
                  <w:rFonts w:ascii="Times New Roman;serif" w:hAnsi="Times New Roman;serif"/>
                  <w:b w:val="false"/>
                  <w:strike w:val="false"/>
                  <w:dstrike w:val="false"/>
                  <w:color w:val="0000FF"/>
                  <w:sz w:val="20"/>
                  <w:u w:val="none"/>
                  <w:effect w:val="none"/>
                </w:rPr>
                <w:t>43</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85">
              <w:r>
                <w:rPr>
                  <w:rStyle w:val="InternetLink"/>
                  <w:rFonts w:ascii="Times New Roman;serif" w:hAnsi="Times New Roman;serif"/>
                  <w:b w:val="false"/>
                  <w:strike w:val="false"/>
                  <w:dstrike w:val="false"/>
                  <w:color w:val="0000FF"/>
                  <w:sz w:val="20"/>
                  <w:u w:val="none"/>
                  <w:effect w:val="none"/>
                </w:rPr>
                <w:t>Form 10-K Summary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85">
              <w:r>
                <w:rPr>
                  <w:rStyle w:val="InternetLink"/>
                  <w:rFonts w:ascii="Times New Roman;serif" w:hAnsi="Times New Roman;serif"/>
                  <w:b w:val="false"/>
                  <w:strike w:val="false"/>
                  <w:dstrike w:val="false"/>
                  <w:color w:val="0000FF"/>
                  <w:sz w:val="20"/>
                  <w:u w:val="none"/>
                  <w:effect w:val="none"/>
                </w:rPr>
                <w:t>44</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88">
              <w:r>
                <w:rPr>
                  <w:rStyle w:val="InternetLink"/>
                  <w:rFonts w:ascii="Times New Roman;serif" w:hAnsi="Times New Roman;serif"/>
                  <w:b w:val="false"/>
                  <w:strike w:val="false"/>
                  <w:dstrike w:val="false"/>
                  <w:color w:val="0000FF"/>
                  <w:sz w:val="20"/>
                  <w:u w:val="none"/>
                  <w:effect w:val="non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88">
              <w:r>
                <w:rPr>
                  <w:rStyle w:val="InternetLink"/>
                  <w:rFonts w:ascii="Times New Roman;serif" w:hAnsi="Times New Roman;serif"/>
                  <w:b w:val="false"/>
                  <w:strike w:val="false"/>
                  <w:dstrike w:val="false"/>
                  <w:color w:val="0000FF"/>
                  <w:sz w:val="20"/>
                  <w:u w:val="none"/>
                  <w:effect w:val="none"/>
                </w:rPr>
                <w:t>45</w:t>
              </w:r>
            </w:hyperlink>
          </w:p>
        </w:tc>
      </w:tr>
      <w:tr>
        <w:trPr/>
        <w:tc>
          <w:tcPr>
            <w:tcW w:w="9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91">
              <w:r>
                <w:rPr>
                  <w:rStyle w:val="InternetLink"/>
                  <w:rFonts w:ascii="Times New Roman;serif" w:hAnsi="Times New Roman;serif"/>
                  <w:b w:val="false"/>
                  <w:strike w:val="false"/>
                  <w:dstrike w:val="false"/>
                  <w:color w:val="0000FF"/>
                  <w:sz w:val="20"/>
                  <w:u w:val="none"/>
                  <w:effect w:val="none"/>
                </w:rPr>
                <w:t>INDEX TO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b7cec225c94f4480415ff04f125a8f_91">
              <w:r>
                <w:rPr>
                  <w:rStyle w:val="InternetLink"/>
                  <w:rFonts w:ascii="Times New Roman;serif" w:hAnsi="Times New Roman;serif"/>
                  <w:b w:val="false"/>
                  <w:strike w:val="false"/>
                  <w:dstrike w:val="false"/>
                  <w:color w:val="0000FF"/>
                  <w:sz w:val="20"/>
                  <w:u w:val="none"/>
                  <w:effect w:val="none"/>
                </w:rPr>
                <w:t>F-1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a small number of customers for a substantial portion of our revenues;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compete in the market for wireless broadband data access products, wireless modem products, and telematics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successfully develop and introduce new products and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pace of 5G wireless network rollouts globally and their adoption by customers;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attract new customers and retain existing customers;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dependence on wireless telecommunication operators delivering acceptable wireless services;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develop sales channels and to onboard and execute successfully with channel partners;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develop and expand into new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properly manage the growth of our business to avoid significant strains on our management and operations and disruptions to our business;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contract manufacturers and third parties to manufacture our products;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contract manufacturers’ ability to secure necessary supply to build our devices;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increases in costs, disruption of supply and/or the shortage of semiconductors or other key components of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accurately forecast customer demand and order the manufacture and timely delivery of sufficient product quantities;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reliance on sole source suppliers for some products and devices used in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ability to be cost competitive while meeting time-to-market requirements for our customers;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meet the product performance needs of our customers in mobile broadband and fixed wireless access markets;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successful investments in research and development;</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introduce and sell new products that comply with current and evolving industry standards and government regulations such as the evolving 5G New Radio (“5G NR”) price and performance standards;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mitigate the impact of trade restrictions, tariffs, or other government-imposed sanctions;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continuing impact of uncertain global economic conditions on the demand for our products;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geopolitical instability on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make payments on or to refinance our indebtedness;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outcome of any pending or future litigation, including intellectual property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 xml:space="preserve">our continued ability to license necessary third-party technology for the development and sale of our solutions; </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introduction of new products that could contain errors or defects;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our ability to hire, retain and manage qualified personnel to maintain and expand our business;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infringement claims with respect to intellectual property contained in our solutions;</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conducting business abroad, including foreign currency risks; and</w:t>
      </w:r>
    </w:p>
    <w:p>
      <w:pPr>
        <w:pStyle w:val="TextBody"/>
        <w:bidi w:val="0"/>
        <w:spacing w:lineRule="auto" w:line="276" w:before="140" w:after="140"/>
        <w:ind w:left="0" w:right="0" w:hanging="360"/>
        <w:jc w:val="left"/>
        <w:rPr/>
      </w:pPr>
      <w:r>
        <w:rPr>
          <w:color w:val="000000"/>
        </w:rPr>
        <w:t>•</w:t>
      </w:r>
      <w:r>
        <w:rPr>
          <w:rFonts w:ascii="Times New Roman;serif" w:hAnsi="Times New Roman;serif"/>
          <w:b w:val="false"/>
          <w:color w:val="000000"/>
          <w:sz w:val="20"/>
        </w:rPr>
        <w:t>the impact of high rates of inflation and rising interest rates.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76" w:before="180" w:after="180"/>
        <w:jc w:val="left"/>
        <w:rPr>
          <w:color w:val="000000"/>
        </w:rPr>
      </w:pPr>
      <w:r>
        <w:rPr>
          <w:color w:val="000000"/>
        </w:rPr>
        <w:t>“</w:t>
      </w:r>
      <w:r>
        <w:rPr>
          <w:rFonts w:ascii="Times New Roman;serif" w:hAnsi="Times New Roman;serif"/>
          <w:b w:val="false"/>
          <w:color w:val="000000"/>
          <w:sz w:val="20"/>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1.    </w:t>
      </w:r>
      <w:r>
        <w:rPr>
          <w:rFonts w:ascii="Times New Roman;serif" w:hAnsi="Times New Roman;serif"/>
          <w:b/>
          <w:i/>
          <w:color w:val="000000"/>
          <w:sz w:val="20"/>
        </w:rPr>
        <w:t>Business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Corp. is a Delaware corporation formed in 2016 as the successor to Novatel Wireless, Inc., a Delaware corporation formed in 1996. Our principal executive office is located at 9710 Scranton Road, Suite 200, San Diego, CA 92121. Inseego’s common stock trades on The NASDAQ Global Select Market under the symbol “INSG.”</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Repurchase of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“Closing Date’), the Company entered into an Exchange Agreement (the “Exchange Agreement”) with an affiliate of Mubadala Capital (the “Holder”), which held all 25,000 outstanding shares of the Company’s Fixed-Rate Cumulative Perpetual Preferred Stock, Series E (the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on the Closing Date all of the outstanding shares of Preferred Stock, which had a liquidation value of $42 million as of December 31, 2025, were surrendered and forfeited by the Holder in exchange for the following consideration, having an aggregate value of approximately $26 million and representing a discount of approximately 38% to the liquidation value: (i) $10 million in cash, one-third of which was paid on the Closing Date and the balance of which will be paid in two equal installments on the six and twelve month anniversaries of the Closing Date; (ii) 767,165 shares of the Company’s common stock (the “Common Shares”), and (iii) $8 million in additional principal amount of the Company’s existing 2029 Senior Secured Notes. The Common Shares and the 2029 Senior Secured Notes were issued to the Holder on the Closing Date.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Exchange Agreement provides the Holder with customary registration rights with respect to the Common Shares, pursuant to which, among other things, the Company agreed to file a registration statement with the Securities and Exchange Commission within six months following the Closing Date.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Industry Trends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the largest technology platform in the world, mobile connectivity has changed the way we work, the way we live and the way we connect with each other. The scale and pace of innovation in mobile networks, especially around broadband speeds and network capacity, is expanding the market beyond traditional wireless which was predominantly focused on smartphones. The new capabilities of 5G technology and additional capacity provided by spectrum auctions is allowing mobile operators to enter the home and business broadband markets. These network enhancements allow enterprise and SMB customers to enable a multitude of business applications to their distributed sites and employees in an economical way. It is also expected that 5G will enable a variety of new low latency use cases once the complete mid-band and core networks are built out. These use cases include telemedicine, industrial automation, robotics, AR/VR, edge computing, cloud gaming, and other applications.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5G mid-band networks will bring a number of enhanced benefits not available on 4G networks, including the capacity to add significant numbers of broadband connections to either bring primary or alternative broadband options to a large number of consumer and business users. It is expected that these newly evolving 5G networks will also enable low latency use cases including manufacturing automation, augmented and virtual reality, video AI, and distributed networking.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adoption of 5G and the cloud continues to grow as companies across a wide range of industries are leveraging digital transformation technologies to increase efficiency, gain better customer insights, facilitate compliance and build new business models. We believe this growth will be initially driven by fixed wireless access with the new low latency enterprise use cases to follow.</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objective is to be the leader in high performance 5G broadband solutions for mobile broadband and fixed wireless access applications for enterprise and SMBs. We expect to meet this objective through our innovations in 5G hotspots, routers and gateways and our cloud solutions that enable ease of deployment and corporate policy orchestration for network wide distributed deployments. We believe that we have a competitive advantage in the market that is rooted in deep technological differentiation in the 4G/5G modem technology that we design in-house.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key elements of our strategy are to:</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i/>
          <w:color w:val="000000"/>
          <w:sz w:val="20"/>
        </w:rPr>
        <w:t>Capitalize on our direct relationships with mobile operators, infrastructure vendors, 5G chipset vendors and component suppliers.</w:t>
      </w:r>
      <w:r>
        <w:rPr>
          <w:color w:val="000000"/>
        </w:rPr>
        <w:t xml:space="preserve"> </w:t>
      </w:r>
      <w:r>
        <w:rPr>
          <w:rFonts w:ascii="Times New Roman;serif" w:hAnsi="Times New Roman;serif"/>
          <w:b w:val="false"/>
          <w:color w:val="000000"/>
          <w:sz w:val="20"/>
        </w:rPr>
        <w:t>We intend to continue to capitalize on our direct and long-standing relationships with the key ecosystem players to strengthen our market position within the consumer, enterprise and SMB market segments.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i/>
          <w:color w:val="000000"/>
          <w:sz w:val="20"/>
        </w:rPr>
        <w:t xml:space="preserve">Keep enhancing our 5G WWAN devices portfolio by leveraging our core mobile technologies and platforms. </w:t>
      </w:r>
      <w:r>
        <w:rPr>
          <w:rFonts w:ascii="Times New Roman;serif" w:hAnsi="Times New Roman;serif"/>
          <w:b w:val="false"/>
          <w:color w:val="000000"/>
          <w:sz w:val="20"/>
        </w:rPr>
        <w:t xml:space="preserve">We intend to keep enhancing our 5G WWAN portfolio in partnership with our key customers to bring the latest 5G capabilities to the enterprise and SMB market segments.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i/>
          <w:color w:val="000000"/>
          <w:sz w:val="20"/>
        </w:rPr>
        <w:t xml:space="preserve">Expand our go-to-market to enterprise and SMB customers. </w:t>
      </w:r>
      <w:r>
        <w:rPr>
          <w:rFonts w:ascii="Times New Roman;serif" w:hAnsi="Times New Roman;serif"/>
          <w:b w:val="false"/>
          <w:color w:val="000000"/>
          <w:sz w:val="20"/>
        </w:rPr>
        <w:t>We will continue to enhance our routes to market through mobile operators, multiple system operators, channel partners, and OEM partners who sell into these market segments.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i/>
          <w:color w:val="000000"/>
          <w:sz w:val="20"/>
        </w:rPr>
        <w:t>Improve SaaS solution penetration</w:t>
      </w:r>
      <w:r>
        <w:rPr>
          <w:rFonts w:ascii="Times New Roman;serif" w:hAnsi="Times New Roman;serif"/>
          <w:b w:val="false"/>
          <w:color w:val="000000"/>
          <w:sz w:val="20"/>
        </w:rPr>
        <w:t xml:space="preserve">. We are focused on continuing to improve our recurring subscription revenue by providing value added capabilities to our customers through the cloud solutions that we develop.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Our cloud management solution (Inseego Connect) manages all of our mobile hotspots, gateways and routers deployed at distributed locations with a single pane of glass for ease of deployment and monitoring of all the connections.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wireless subscriber lifecycle management solution (Inseego Subscribe) is specifically built for carrier servicing of government and enterprise customers and is currently deployed in North America with a large carrier with several million end users.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provide a portfolio of high performance 5G WAN products as well as cloud solutions for the enterprise and SMB market segments. Our 4G and 5G devices connect end users with high performance broadband for both mobile and fixed wireless use cases. These solutions include “MiFi" ™ hotspots, routers, and gateways for a wide variety of end user deployments. We offer a cloud solution used for managing edge devices including security, status, configuration and software used at all of a customer’s locations. We also provide a CSP subscriber lifecycle management solution that is used to manage a carrier’s government and complex enterprise customer subscriptions.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currently operate on all major cellular networks in the US. Our mobile hotspots, sold under the MiFi ™ brand, have been sold to millions of end users and provide secure and convenient high-speed broadband access to the Internet on the go.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the 5G networks continue to expand both coverage and capacity, new enterprise and SMB market opportunities are opening up. The largest initial opportunity is for enterprise and SMBs to provide primary or alternate broadband access to their distributed sites and employees through 5G fixed wireless access offerings. Mobile operators are now providing fixed wireless access specific broadband plans that allow businesses to deploy 5G technology broadly without waiting for the availability of wired connections at those locations.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classify our revenues from the sale of our products and services into two categories: Product Revenue, which consists of our Mobile Solutions and Fixed Wireless Access Solutions, and Software Services and Other.</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Mobile Solutions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5G and 4G mobile broadband (MiFi) business has been driving advanced wireless mobile technologies for a multitude of consumer and enterprise applications for over 20 years. In the 2000s, Inseego invented mobile hotspots sold under the MiFi ™ brand. During the 2010s, Inseego was a leader in the 4G mobile MiFi ™ market—delivering the highest 4G mobile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hotspot performance in the market. In 2019, Inseego developed and produced the world’s first 5G mobile hotspot and in early 2026 we plan to introduce our new generation using the Qualcomm SDX72 chipset.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MiFi customer base is primarily comprised of mobile operators. Our mobile portfolio is supported by our cloud offering, Inseego Connect for device management, whose revenues are included in Software Services and Other below. </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Fixed Wireless Access Solutions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 xml:space="preserve">below. These devices, sold under the Wavemaker brand, are sold by mobile operators such as T-Mobile, Verizon Wireless, and AT&amp;T along with distribution and channel partners. </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Software Services and Other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substantial majority of our software services and other revenue comes from providing a SaaS CSP wireless 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engage in a wide variety of sales and marketing activities, driving market leadership and customer demand through integrated marketing campaigns. This includes product marketing, corporate communications, brand marketing and demand generation.</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our 5G mobile and fixed wireless access solutions and SaaS offerings is rapidly evolving and highly competitive. It is likely to continue to be affected by new product introductions and industry participants.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products compete with a variety of solutions providers in different market segments. Our current competitors include: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Mobile broadband – Companies such as Netgear, Franklin Wireless, TCL, ZTE, Orbic, and Sonim</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Fixed wireless access – Companies such as Nokia, Ericsson Wireless Solutions, ZTE, Peplink, Teltonika and Cisco</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market for our products and services expands, other entrants may seek to compete with us either directly or indirectly.</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efforts are focused on developing innovative 5G mobile broadband and fixed wireless access solutions that includes mobile hotspots, gateways and routers. We also develop associated cloud management and enterprise networking cloud solutions to provide an end-to-end solution to our customers, including for our subscriber lifecycle management platform. We will continue to improve the functionality, design and performance of our current products and solutions.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committed to continually identifying and responding to our customers' requirements by introducing new 5G designs that fulfill their market and customer needs.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manage our research and development efforts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solutions rely on and benefit from our portfolio of intellectual property, including patents and trademarks. We currently own 45 patents, which expire at various times between 2026 and 2042.</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along with our subsidiaries, also hold a number of trademarks or registered trademarks including “Inseego”, “Inseego Subscribe”, “Inseego Manage”, “Inseego Secure”, “Inseego Vision”, the Inseego logo, “MiFi”, “MiFi Intelligent Mobile Hotspot”, ”Wavemaker”, “Clarity”, and “Skyus.”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Key Partners and Customers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We have strategic technology, development and marketing relationships with several of our carrier customers and partners. Our strong carrier, enterprise, and partner relationships provide us with the opportunity to expand our market reach and sales. We partner with leading OEMs, mobile operators, value-added resellers and distributors which allows us to offer our customers integrated soluti</w:t>
      </w:r>
      <w:r>
        <w:rPr>
          <w:rFonts w:ascii="Times New Roman;serif" w:hAnsi="Times New Roman;serif"/>
          <w:b w:val="false"/>
          <w:color w:val="000000"/>
          <w:sz w:val="20"/>
          <w:shd w:fill="FFFFFF" w:val="clear"/>
        </w:rPr>
        <w:t>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Customers for our products include transportation companies, industrial companies, governmental agencies, manufacturers, mobile operators, system integrators, distributors, and enterprises in various industries, including finance, accounting, legal, insurance, energy and industrial automation, security and safety, medical monitoring and government.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customers for our 5G products include mobile operators such as Verizon Wireless, T-Mobile, AT&amp;T TD Synnex, Get Wireless, and Fastental , amongst others. Customers for our device management solutions include mobile operators such as T-Mobile.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 during the year ended December 31, 2025 came from two customers, Verizon and T-Mobile, which together represented approximately 89% of our total revenues for the year ended December 31, 2025. We intend to continue diversifying our customer base, a recent example of which is the inclusion of our FX4200 5G FWA device in AT&amp;T Business’s device offerings.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Manufacturing and Operations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hardware at the core of our products is produced by contract manufacturers. Our primary contract manufacturers include Hon Hai Precision Industry Co., Ltd. (“Foxconn”) and Inventec Appliance Corporation (“IAC”). Under our manufacturing agreements, such contract manufacturers provide us with services including component procurement, product manufacturing, final assembly, testing, quality control and fulfillment. These contract manufacturers are primarily located in Asia and are able to produce our products using modern state-of-the-art equipment and facilities with relatively low-cost labor.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outsource our manufacturing in order to:</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focus on our core competencies of design, development and marketing;</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minimize our capital expenditures and lease obligations;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realize manufacturing economies of scale;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achieve production scalability by adjusting manufacturing volumes to meet changes in demand;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access best-in-class component procurement and manufacturing resources.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we had 275 employees, 266 of whom were full-time employees. We also use the services of consultants and temporary workers from time to time. Our employees are not represented by any collective bargaining unit and we consider our relationship with our employees to be good.</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76" w:before="180" w:after="180"/>
        <w:ind w:left="0" w:right="0" w:firstLine="450"/>
        <w:jc w:val="left"/>
        <w:rPr/>
      </w:pPr>
      <w:r>
        <w:rPr>
          <w:rFonts w:ascii="Times New Roman;serif" w:hAnsi="Times New Roman;serif"/>
          <w:b/>
          <w:color w:val="000000"/>
          <w:sz w:val="20"/>
        </w:rPr>
        <w:t>Our Culture</w:t>
      </w:r>
      <w:r>
        <w:rPr>
          <w:rFonts w:ascii="Times New Roman;serif" w:hAnsi="Times New Roman;serif"/>
          <w:b w:val="false"/>
          <w:color w:val="000000"/>
          <w:sz w:val="20"/>
        </w:rPr>
        <w:t>: Culture is critically important to our growth and performance. We are driven by our values of Accountability, Sense of Urgency, Market Driven Innovation, Customer Focus, and Integrity. We are committed to creating a world class employee experience through leadership development, career planning, open two-way communications, total compensation, and a positive work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pPr>
      <w:r>
        <w:rPr>
          <w:rFonts w:ascii="Times New Roman;serif" w:hAnsi="Times New Roman;serif"/>
          <w:b/>
          <w:color w:val="000000"/>
          <w:sz w:val="20"/>
        </w:rPr>
        <w:t>Diversity &amp; Inclusion</w:t>
      </w:r>
      <w:r>
        <w:rPr>
          <w:rFonts w:ascii="Times New Roman;serif" w:hAnsi="Times New Roman;serif"/>
          <w:b w:val="false"/>
          <w:color w:val="000000"/>
          <w:sz w:val="20"/>
        </w:rPr>
        <w:t>: Our people are our most important asset. At Inseego, we embrace an inclusive culture because good ideas come from everywhere. Diversity comes in all forms, from different backgrounds and experiences to different perspectives and skill sets. It is this diversity that fuels innovation. It is this common passion to innovate that makes Inseego an equal opportunity employer. Inseego does not unlawfully discriminate in any employment decisions, including hiring, compensation, promotion, discipline, or termination on the basis of race, religion, color, national origin, sex, sexual orientation, gender identity, age, protected veteran status or disability. Inseego is also committed to providing reasonable accommodations to qualified individuals with disabilities and individuals with sincerely held religious beliefs and practices.</w:t>
      </w:r>
    </w:p>
    <w:p>
      <w:pPr>
        <w:pStyle w:val="TextBody"/>
        <w:bidi w:val="0"/>
        <w:spacing w:lineRule="auto" w:line="276" w:before="180" w:after="180"/>
        <w:ind w:left="0" w:right="0" w:firstLine="450"/>
        <w:jc w:val="left"/>
        <w:rPr/>
      </w:pPr>
      <w:r>
        <w:rPr>
          <w:rFonts w:ascii="Times New Roman;serif" w:hAnsi="Times New Roman;serif"/>
          <w:b/>
          <w:color w:val="000000"/>
          <w:sz w:val="20"/>
        </w:rPr>
        <w:t>Talent</w:t>
      </w:r>
      <w:r>
        <w:rPr>
          <w:rFonts w:ascii="Times New Roman;serif" w:hAnsi="Times New Roman;serif"/>
          <w:b w:val="false"/>
          <w:color w:val="000000"/>
          <w:sz w:val="20"/>
        </w:rPr>
        <w:t>: We believe that talent is key to our success. Our human capital resources objectives include, as applicable, identifying, recruiting, retaining, incentivizing, and integrating our existing and new employees. Our company size and culture allows employees to build and expand their skill set in ways that will enrich their careers. Our goal setting and performance evaluation process enables the company to focus on accelerating development for those who are top performers and strengthening the talent pipeline.</w:t>
      </w:r>
    </w:p>
    <w:p>
      <w:pPr>
        <w:pStyle w:val="TextBody"/>
        <w:bidi w:val="0"/>
        <w:spacing w:lineRule="auto" w:line="276" w:before="180" w:after="180"/>
        <w:ind w:left="0" w:right="0" w:firstLine="450"/>
        <w:jc w:val="left"/>
        <w:rPr/>
      </w:pPr>
      <w:r>
        <w:rPr>
          <w:rFonts w:ascii="Times New Roman;serif" w:hAnsi="Times New Roman;serif"/>
          <w:b/>
          <w:color w:val="000000"/>
          <w:sz w:val="20"/>
        </w:rPr>
        <w:t xml:space="preserve">Employee Health and Wellness: </w:t>
      </w:r>
      <w:r>
        <w:rPr>
          <w:rFonts w:ascii="Times New Roman;serif" w:hAnsi="Times New Roman;serif"/>
          <w:b w:val="false"/>
          <w:color w:val="000000"/>
          <w:sz w:val="20"/>
        </w:rPr>
        <w:t>As the success of our business is fundamentally connected to the well-being of our employees, we are committed to their health, safety and wellness. We provide our employees and their families with access to convenient health and wellness programs. These programs include benefits that provide protection and security to help give our employees peace of mind concerning events that may require time away from work or that may impact their financial well-being. We offer choice where possible so employees can customize their benefits to meet their needs and the needs of their families. We also sponsor various Health &amp; Wellness Initiatives in the U.S. to help employees find ways to create more balance in their lives.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Governmental Regulations</w:t>
      </w:r>
    </w:p>
    <w:p>
      <w:pPr>
        <w:pStyle w:val="TextBody"/>
        <w:bidi w:val="0"/>
        <w:spacing w:lineRule="auto" w:line="276" w:before="180" w:after="180"/>
        <w:ind w:left="0" w:right="0" w:firstLine="450"/>
        <w:jc w:val="left"/>
        <w:rPr/>
      </w:pPr>
      <w:r>
        <w:rPr>
          <w:rFonts w:ascii="Times New Roman;serif" w:hAnsi="Times New Roman;serif"/>
          <w:b/>
          <w:color w:val="000000"/>
          <w:sz w:val="20"/>
        </w:rPr>
        <w:t>Environmental Laws</w:t>
      </w:r>
      <w:r>
        <w:rPr>
          <w:rFonts w:ascii="Times New Roman;serif" w:hAnsi="Times New Roman;serif"/>
          <w:b w:val="false"/>
          <w:color w:val="000000"/>
          <w:sz w:val="20"/>
        </w:rPr>
        <w:t>: Our products and manufacturing process are subject to numerous governmental regulations, which cover both the use of various materials as well as environmental concerns. Environmental issues such as pollution and climate change have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 To the best of our knowledge, we maintain compliance with all current government regulations concerning our production processes for all locations in which we operate. Since we operate on a global basis, this is a complex process that requires continual monitoring of regulations and compliance effort to ensure that we and our suppliers are in compliance with all existing regulations.</w:t>
      </w:r>
    </w:p>
    <w:p>
      <w:pPr>
        <w:pStyle w:val="TextBody"/>
        <w:bidi w:val="0"/>
        <w:spacing w:lineRule="auto" w:line="276" w:before="180" w:after="180"/>
        <w:ind w:left="0" w:right="0" w:firstLine="450"/>
        <w:jc w:val="left"/>
        <w:rPr/>
      </w:pPr>
      <w:r>
        <w:rPr>
          <w:rFonts w:ascii="Times New Roman;serif" w:hAnsi="Times New Roman;serif"/>
          <w:b/>
          <w:color w:val="000000"/>
          <w:sz w:val="20"/>
        </w:rPr>
        <w:t>Other Regulations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As a company with global operations, we are subject to complex foreign and U.S. laws and regulations, including trade regulations, tariffs, import and export regulations, anti-bribery and corruption laws, antitrust or competition laws, data privacy laws, such as the EU General Data Protection Regulation (the “GDPR”), and environmental regulations, among others.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such regulations will materially impact our business in the future.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Website Access to SEC Filings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Inseego. 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erif" w:hAnsi="Times New Roman;serif"/>
          <w:b/>
          <w:color w:val="000000"/>
          <w:sz w:val="20"/>
        </w:rPr>
        <w:t>Item 1A.    </w:t>
      </w:r>
      <w:r>
        <w:rPr>
          <w:rFonts w:ascii="Times New Roman;serif" w:hAnsi="Times New Roman;serif"/>
          <w:b/>
          <w:i/>
          <w:color w:val="000000"/>
          <w:sz w:val="20"/>
        </w:rPr>
        <w:t>Risk Factors</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SUMMARY OF RISK FACTORS </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Risks Related to Our Ability to Generate Revenues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depend upon two customers for a substantial portion of our revenues, and our business would be negatively affected by an adverse change in our business with either of these customers.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may not be able to retain and increase sales to our existing customers, which could negatively impact our financial results.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Loss of, or a significant reduction in business from, one or more significant customers could adversely affect our revenue and profitability.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The FWA market may take longer to materialize than we expect or, if it does materialize rapidly, we may not be able to meet the development schedule and other customer demands.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The marketability of our products may suffer if wireless telecommunications operators do not deliver acceptable wireless services.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customers do not adopt and/or renew our software services, we may not be able to monetize these software assets and realize a key part of our growth and profitability strategy.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The market for the products and services that we offer is rapidly evolving and highly competitive. We may be unable to compete effectively.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we fail to develop and maintain strategic relationships, we may not be able to penetrate new markets.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we fail to develop and timely introduce new products and services or enter new markets for our products and services successfully, we may not achieve our revenue targets, or we may lose key customers or sales and our business could be harmed.</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Risks Related to Developing, Manufacturing and Delivering Our Solutions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rely on third parties to manufacture and warehouse many of our products, which exposes us to a number of risks and uncertainties outside our control.</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Natural disasters, public health crises, political crises and other catastrophic events or other events outside of our control could damage our facilities or the facilities of third parties on which we depend, and could impact consumer spending. </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disruptions in our transportation network occur or our shipping costs substantially increase, we may be unable to sell or timely deliver our products, and our operating expenses could increase.</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may be unable to adequately control the costs or maintain adequate supply of components and raw materials associated with our operations.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we do not effectively manage our sales channel inventory and product mix, we may incur costs associated with excess inventory, or lose sales from having too few products.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Product liability, product replacement or recall costs could adversely affect our business and financial performance.</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rely on third-party software and other intellectual property to develop and provide our solutions and significant increases in licensing costs or defects in third-party software could harm our business.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solutions integrate with third-party technologies and if our solutions become incompatible with these technologies, our solutions would lose functionality and our customer acquisition and retention could be adversely affected.</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“over-the-air” transmission of firmware updates could permit a third party to disable our customers’ in-vehicle devices or introduce malware into our customers’ in-vehicle devices, which could expose us to widespread loss of service and customer claims.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international operations may increase our exposure to potential liability under anti-corruption, trade protection, tax and other laws and regulations.</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Risks Related to Our Outstanding Debt</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debt service requirements are significant, and we may not have sufficient cash flow from our business to pay our debt.</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Our future capital needs are uncertain, and we may need to raise additional funds in the future. We may not be able to raise such additional funds on acceptable terms or at all. </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We are required to comply with certain financial and other covenants under the terms of our 2029 Senior Secured Notes and our Working Capital Facility (as defined below) and, if we fail to meet those financial or other covenants or otherwise suffer a default thereunder, our lenders may accelerate the payment of such obligations. </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may rely on borrowings under the Working Capital Facility and the accounts receivable securitization facility to provide funds to operate our business and make capital expenditures, and our business could be adversely affected if those facilities are not available to be drawn, or amounts available to be drawn are reduced.</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Legal and Regulatory Risks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Enhanced United States fiscal, tax and trade restrictions and executive and legislative actions could adversely affect our business, financial condition, and results of operations.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Tariffs and other trade restrictions may have an adverse impact on our business, operations and financial results.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The increasing focus on environmental sustainability and social initiatives could increase our costs, harm our reputation and adversely impact our financial results.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An assertion by a third party that we are infringing its intellectual property could subject us to costly and time-consuming litigation or expensive licenses and our business could be harmed.</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If we are unable to protect our intellectual property and proprietary rights, our competitive position and our business could be harmed. </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Risks Related to Corporate Development Activities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may acquire companies and businesses, and/or divest assets or businesses. The completion of acquisition or divestiture transactions could have an adverse effect on our financial condition.</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our goodwill and acquired intangible assets become impaired, we may be required to record a significant charge to earnings.</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Risks Related to Owning Our Securities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share price has been highly volatile in the past and could be highly volatile in the future.</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ability to use our net operating loss carryforwards and certain other tax attributes may be limited.</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The price of our stock may be vulnerable to manipulation, including through short sales. </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Future issuances of common stock upon exercise of warrants or pursuant to employee equity awards may result in dilution to existing stockholders, lower prevailing market prices for our common stock or require a significant cash outlay.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Ownership of our common stock is concentrated, and as a result, certain stockholders may exercise significant influence over the Company.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restated certificate of incorporation and restated bylaws and Delaware law could prevent a takeover that stockholders consider favorable and could also reduce the market price of our stock.</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financial or industry analysts do not publish research or reports about our business, or if they issue negative or misleading evaluations of our stock, our stock price and trading volume could be adversely affected.</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 xml:space="preserve">If the accounting estimates we make, and the assumptions on which we rely, in preparing our financial statements prove inaccurate, our actual results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Changes to the accounting systems or new accounting system implementations may be ineffective or cause delays in our ability to record transactions and/or provide timely financial results.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Any changes to existing accounting pronouncements or taxation rules or practices may cause adverse fluctuations in our reported results of operations or affect how we conduct our business.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quarterly operating results have fluctuated in the past and may fluctuate in the future, which could cause declines or volatility in the price of our common stock.</w:t>
      </w:r>
    </w:p>
    <w:p>
      <w:pPr>
        <w:pStyle w:val="TextBody"/>
        <w:bidi w:val="0"/>
        <w:spacing w:lineRule="auto" w:line="276" w:before="60" w:after="60"/>
        <w:jc w:val="left"/>
        <w:rPr>
          <w:rFonts w:ascii="Times New Roman;serif" w:hAnsi="Times New Roman;serif"/>
          <w:b/>
          <w:i/>
          <w:color w:val="000000"/>
          <w:sz w:val="20"/>
        </w:rPr>
      </w:pPr>
      <w:r>
        <w:rPr>
          <w:rFonts w:ascii="Times New Roman;serif" w:hAnsi="Times New Roman;serif"/>
          <w:b/>
          <w:i/>
          <w:color w:val="000000"/>
          <w:sz w:val="20"/>
        </w:rPr>
        <w:t>General Risk Factors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We may not be able to maintain and expand our business if we are not able to hire, retain and manage additional qualified personnel.</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Our business may be adversely affected by unfavorable macroeconomic conditions</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000000"/>
          <w:sz w:val="20"/>
        </w:rPr>
        <w:t>Adverse economic conditions or reduced spending on information technology solutions may adversely impact our revenue and profitability.</w:t>
      </w:r>
    </w:p>
    <w:p>
      <w:pPr>
        <w:pStyle w:val="TextBody"/>
        <w:bidi w:val="0"/>
        <w:spacing w:lineRule="auto" w:line="276" w:before="60" w:after="60"/>
        <w:ind w:left="0" w:right="0" w:hanging="360"/>
        <w:jc w:val="left"/>
        <w:rPr/>
      </w:pPr>
      <w:r>
        <w:rPr>
          <w:color w:val="000000"/>
        </w:rPr>
        <w:t>•</w:t>
      </w:r>
      <w:r>
        <w:rPr>
          <w:rFonts w:ascii="Times New Roman;serif" w:hAnsi="Times New Roman;serif"/>
          <w:b w:val="false"/>
          <w:color w:val="231F20"/>
          <w:sz w:val="20"/>
          <w:shd w:fill="FFFFFF" w:val="clear"/>
        </w:rPr>
        <w:t>We may be exposed to risks related to litigation and administrative proceedings that could materially and adversely affect our business, results of operations and financial condition.</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ABILITY TO GENERATE REVENUES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depend upon two customers for a substantial portion of our revenues, and our business would be negatively affected by an adverse change in our business with either of these customers.</w:t>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to Verizon Wireless and T-Mobile collectively accounted for 89% and 76% of our consolidated revenues for the years ended December 31, 2025 and 2024, respectively. Revenues from T-Mobile generated through our wireless subscriber lifecycle management solution (Inseego Subscribe) makes up a substantial majority of our Software Services and Other revenue. While we have accelerated our engagements with prospective new customers and continue to focus on growing revenue in other parts of our business, we expect that Verizon Wireless and T-Mobile will continue to account for a substantial portion of our revenues, and any impairment of our relationship or reduction in our services with Verizon Wireless or T-Mobile would adversely affect our business and financial position. Additionally, any change in the forecasted or actual product sell-through of Verizon Wireless or T-Mobile could have a detrimental impact on our revenue, bottom line and cash position.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may not be able to retain and increase sales to our existing customers, which could negatively impact our financial results.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part of our growth strategy is to sell additional new products and solutions to our existing customers. Our ability to sell new products and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 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generally seek to sell our software services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Loss of, or a significant reduction in business from, one or more significant customers could adversely affect our revenue and profitability.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Loss of one or more of our larger customers could result in a meaningful decrease in revenue and profitability. If we lose one or more large enterprise or government customers, or if we experience a significant reduction in business from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large enterprise or government customers, there is no assurance that we would be able to replace those customers to generate comparable revenue over a short time period, which could harm our operating results and profitability.</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The FWA market may take longer to materialize than we expect or, if it does materialize rapidly, we may not be able to meet the development schedule and other customer demands.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FWA market and its emerging standards is continuing to develop, and this market may not see as much growth as we expect or this growth may take longer to materialize than we expect which could delay important commercial network launches. If the market does materialize at a rapid pace, we may have difficulties meeting aggressive timing expectations of our current customers and getting our products to market on time to meet the demands of our customers. The FWA market requires us to design routers and antennas that meet certain technical specifications, and we may have difficulties meeting the market and any further technical specifications and timelines.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FWA market. While we believe that 5G technology will provide expanded use cases and opportunities and that we are strategically placed to realize these opportunities, the development of our products and our portfolio may not prove to be as successful as we expect.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The marketability of our products may suffer if wireless telecommunications operators do not deliver acceptable wireless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customers do not adopt and/or renew our software services, we may not be able to monetize these software assets and realize a key part of our growth and profitability strategy.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increase customer adoption of our software, including Inseego Connect. If the markets relating to network software solutions do not develop as we anticipate, or if we are unable to commercialize, increase market awareness and gain adoption of our software and services within those markets, revenue from our software may not grow. We have a limited history in commercializing and selling these software solutions and we continue to build out the capability of our software portfolio. Moreover, the market and competitive landscape for these solutions is dynamic, and it is difficult to predict important trends, including the potential growth, if any, of this market. If the market for these software solutions does not evolve in the way we anticipate or if customers do not adopt our software, a part of our strategy for growth would be adversely affected and our financial results may suffer.</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The market for the products and services that we offer is rapidly evolving and highly competitive. We may be unable to compete effectively.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supplier-related developments, or a shift in the business landscape. They also may devote greater or more effective resources than we do to the development, manufacture, promotion, sale, and post-sale support of their respective products and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current competitors include: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Mobile broadband – Companies such as Netgear, Franklin Wireless, TCL, ZTE, Orbic, and Sonim</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Fixed wireless access – Companies such as Nokia, Ericsson Wireless Solutions, ZTE, Peplink, Teltonika and Cisco</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we fail to develop and maintain strategic relationships, we may not be able to penetrate new markets.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key element of our business strategy is to penetrate new markets by developing new service offerings through strategic relationships with industry participants, including cellular carriers, distributors and channel partners.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we fail to develop and timely introduce new products and services or enter new markets for our products and services successfully, we may not achieve our revenue targets, or we may lose key customers or sales and our business could be harmed.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development of new products and services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successfully manage these risks or meet required delivery specifications or deadlines in connection with one or more of our key contracts, we may lose key customers or orders and our business could be harmed.</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DEVELOPING, MANUFACTURING AND DELIVERING OUR SOLUTIONS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rely on third parties to manufacture and warehouse many of our products, which exposes us to a number of risks and uncertainties outside our control.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outsource the manufacturing of many of our products to companies including Foxconn and Inventec Appliances Corporation.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are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cost-effective basis, which would adversely impact our operations. In addition, we generally do not enter into long-term contracts with our manufacturers. As a result, we are subject to price increases due to availability, and subsequent price volatility,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unexpected increases in manufacturing costs;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interruptions in shipments if a third-party manufacturer is unable to complete production in a timely manner;</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control quality of finished products;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control delivery schedules;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control production levels and to meet minimum volume commitments to our customers;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control manufacturing yield;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maintain adequate manufacturing capacity;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inability to secure adequate volumes of acceptable components at suitable prices or in a timely manner.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depend on sole source suppliers for some components used in our products. The availability and sale of those services would be harmed if any of these suppliers is not able to meet our demand and alternative suitable products are not available on acceptable terms, or at all.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As an example, there is currently a worldwide shortage of memory chips, which could impact our operations if we are unable to secure adequate supply of memory chips for our products. In addition our financial results could be impacted if we obtain memory chips at inflated prices and are unable to pass on these price increases to our customers. If there is a shortage or interruption in the availability to us of any such components and we cannot timely obtain a commercially and technologically suitable substitute or make sufficient and timely design or other modifications to permit the use of such a substitute component,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Natural disasters, public health crises, political crises and other catastrophic events or other events outside of our control could damage our facilities or the facilities of third parties on which we depend, and could impact consumer spending.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offices in San Diego, California and the facilities of our third-party contract manufacturers are exposed to various natural hazards, including earthquake, fire, severe weather and landslides. If any of our facilities or the facilities of our third-party service providers, dealers or partners is affected by natural disasters, such as earthquakes, tsunamis, wildfires, power shortages, floods, public health crises (such as pandemics and epidemics), political crises (such as terrorism, war, political instability or other conflict) or other events outside our control, including a cyberattack, our critical business or IT systems could be destroyed or disrupted and our ability to conduct normal business operations and our revenues and operating results could be adversely affected. Moreover, these types of events could negatively impact consumer spending in the impacted regions or, depending upon the severity, globally, which could adversely impact our operating results.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disruptions in our transportation network occur or our shipping costs substantially increase, we may be unable to sell or timely deliver our products, and our operating expenses could increase.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upon the transportation systems we use to ship our products, including surface and air freight. Our attempts to closely match our inventory levels to our product demand intensify the need for our transportation systems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function effectively and without delay. The transportation network is subject to disruption or congestion from a variety of causes, including labor disputes or port strikes, acts of war or terrorism, natural disasters, pandemics like COVID-19 and congestion resulting from higher shipping volumes. Labor disputes among freight carriers and at ports of entry are common, particularly in Europe, and we expect labor unrest and its effects on shipping our products to be a continuing challenge for us. A port worker strike, work slow-down or other transportation disruption could significantly disrupt our business. Additionally, our international freight is regularly subjected to inspection by governmental entities. If our delivery times increase unexpectedly for these or any other reasons, our ability to deliver products on time would be materially adversely affected and result in delayed or lost revenue as well as customer-imposed penalties. In addition, if increases in fuel prices continue to occur, our transportation costs would likely increase. Moreover, the cost of shipping our products by air freight is greater than other methods. From time to time in the past, we have shipped products using extensive air freight to meet unexpected spikes in demand, shifts in demand between product categories, to bring new product introductions to market quickly and to timely ship products previously ordered. If we rely more heavily upon air freight to deliver our products, our overall shipping costs will increase. A prolonged transportation disruption or a significant increase in the cost of freight could severely disrupt our business and harm our operating results.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may be unable to adequately control the costs or maintain adequate supply of components and raw materials associated with our operations.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continue to work closely with suppliers and customers to minimize the potential adverse impact of the semiconductor supply shortage and monitor the availability of semiconductor chips and other component parts and raw materials. However, if we are not able to mitigate the semiconductor shortage impact, any direct or indirect supply chain disruptions may have a material adverse impact on our financial condition, results of operations and cash flows.</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If we do not effectively manage our sales channel inventory and product mix, we may incur costs associated with excess inventory, or lose sales from having too few products.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are unable to properly monitor and manage our sales channel inventory and maintain an appropriate level and mix of products with our distributors and within our sales channels, we may incur increased and unexpected costs associated with this inventory. We determine production levels based on our forecasts of demand for our products. Actual demand for our products depends on many factors, which makes it difficult to forecast. We have experienced differences between our actual and our forecasted demand in the past and expect differences to arise in the future. If we improperly forecast demand for our products, we could end up with too many products and be unable to sell the excess inventory in a timely manner, if at all, or, alternatively we could end up with too few products and not be able to satisfy demand. This problem is exacerbated because we attempt to closely match inventory levels with product demand leaving limited margin for error. If these events occur, we could incur increased expenses associated with writing off excessive or obsolete inventory, lose sales, incur penalties for late delivery or have to ship products by air freight to meet immediate demand incurring incremental freight costs above the sea freight costs, a preferred method, and suffering a corresponding decline in gross margins.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Product liability, product replacement or recall costs could adversely affect our business and financial performance.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rely on third-party software and other intellectual property to develop and provide our solutions and significant increases in licensing costs or defects in third-party software could harm our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solutions integrate with third-party technologies and if our solutions become incompatible with these technologies, our solutions would lose functionality and our customer acquisition and retention could be adversely affected.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 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Our “over-the-air” transmission of firmware updates could permit a third party to disable our customers’ in-vehicle devices or introduce malware into our customers’ in-vehicle devices, which could expose us to widespread loss of service and customer claims.</w:t>
      </w:r>
    </w:p>
    <w:p>
      <w:pPr>
        <w:pStyle w:val="TextBody"/>
        <w:bidi w:val="0"/>
        <w:spacing w:lineRule="auto" w:line="276" w:before="180" w:after="180"/>
        <w:ind w:left="0" w:right="0" w:firstLine="450"/>
        <w:jc w:val="left"/>
        <w:rPr>
          <w:color w:val="000000"/>
        </w:rPr>
      </w:pPr>
      <w:r>
        <w:rPr>
          <w:color w:val="000000"/>
        </w:rPr>
        <w:t>“</w:t>
      </w:r>
      <w:r>
        <w:rPr>
          <w:rFonts w:ascii="Times New Roman;serif" w:hAnsi="Times New Roman;serif"/>
          <w:b w:val="false"/>
          <w:color w:val="000000"/>
          <w:sz w:val="20"/>
        </w:rPr>
        <w:t>Over-the-air” transmission of our firmware updates may provide the opportunity for a third party, who has deep inside knowledge of our systems, to modify or disable our customers’ in-vehicle systems or introduce malware into our customers’ in-vehicle systems. No such incidents have occurred to date, but there can be no assurance that they will not occur in the future. Damage to our customers’ in-vehicle devices as a result of such incidents could only be remedied through direct servicing of their installed in-vehicle devices by trained personnel, which would impose a very significant cost on us, particularly if the incidents are widespread. Moreover, such incidents could expose us to widespread loss of service and claims by our customers under various theories of liability, the outcome of which would be uncertain. Third party interference with our over-the-air transmission of firmware, or with our customers’ in-vehicle devices during such process, could materially and adversely affect our business, financial condition and results of operations.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international operations may increase our exposure to potential liability under anti-corruption, trade protection, tax and other laws and regulations.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failure to comply with Anti-Corruption Laws could result in significant fines and penalties, criminal sanctions against us, our officers or our employees, prohibitions on the conduct of our business, and damage to our reputation. Operations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of the United States may be affected by changes in trade protection laws, policies and measures, and other regulatory requirements affecting trade and investment.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OUR OUTSTANDING DEBT</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debt service requirements are significant, and we may not have sufficient cash flow from our business to pay our debt.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outstanding indebtedness of approximately $40.9 million in outstanding principal amount of our 9.0% senior secured notes due in 2029 (the “2029 Senior Secured Notes”). On January 14, 2026 we issued an additional $8.0 million in principal amount of the 2029 Senior Secured Notes in connection with the repurchase of our Preferred Stock. The 2029 Senior Secured Notes have a maturity date of May 1, 2029.</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on, or to refinance our indebtedness, depends on our cash balances on hand and our future performance, which is subject to economic, financial, competitive and other factors beyond our control. Our business may not generate cash flow from operations in the future and along with cash balances may not be sufficient to service our debt and other fixed charges, fund working capital needs and make necessary capital expenditures. If we do not have adequate cash or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 xml:space="preserve">Our future capital needs are uncertain, and we may need to raise additional funds in the future. We may not be able to raise such additional funds on acceptable terms or at all.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need to raise substantial additional capital in the future to refinance our indebtedness,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are required to comply with certain financial and other covenants under the terms of our 2029 Senior Secured Notes and our Working Capital Facility and, if we fail to meet those financial or other covenants or otherwise suffer a default thereunder, our lenders may accelerate the payment of such obligations.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Indenture that sets forth the terms of the 2029 Senior Secured Notes (the “2029 Senior Secured Notes Indenture”) and the credit agreement that sets forth the terms of the Working Capital Facility (the “Working Capital Facility Agreement”) contain various covenants which put certain restrictions on our ability to incur liens, sell or transfer assets, incur other indebtedness, pay dividends, make investments, enter into transactions with affiliates, make other distributions or payments on account of any redemption, retirement or purchase of any capital stock or pay certain other indebtedness. The restrictions in the 2029 Senior Secured Notes Indenture and the Working Capital Facility impose operating and financial restrictions on us and may limit our ability to compete effectively, take advantage of new business opportunities or take other actions that may be in our, or our stockholders’, best interests. Further, various risks and uncertainties may impact our ability to comply with our obligations under the 2029 Senior Secured Notes Indenture and the Working Capital Facility Agreement. Our obligations under the 2029 Senior Secured Notes and the Working Capital Facility are secured by a continuing security interest in all property (other than certain excluded collateral) of the Company and each of the obligors or borrower parties thereunder,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Our inability to comply with any of the provisions of the 2029 Senior Secured Notes Indenture or the Working Capital Facility Agreement could result in a default under such applicable agreement. If such a default occurs, the noteholders or the lenders, as applicable may elect to demand payment in full of all or any portion of our obligations under the 2029 Senior Secured Notes or the Working Capital Facility, as applicable and, among other remedies, foreclose on our assets. The occurrence of any of these events could have a material adverse effect on our business, financial condition, results of operations and liquidity.</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We may rely on borrowings under the Working Capital Facility to provide funds to operate our business and make capital expenditures, and our business could be adversely affected if those facilities are not available to be drawn, or amounts available to be drawn are reduced.</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support our operations and make capital expenditures, we may borrow funds under the Working Capital Facility. The amount of borrowings permitted at any time under the Working Capital Facility is limited to a periodic borrowing base valuation of the collateral thereunder. Borrowings under the Working Capital Facility are principally supported by pledges of inventory and accounts receivable. As a result, our access to credit under the Working Capital Facility is potentially subject to significant fluctuations depending on the value of the borrowing base of eligible assets as of any measurement date, and, in the case of the Working Capital Facility, certain discretionary rights of the agent in respect of the calculation of such borrowing base value. If our access to such financing was unavailable or reduced, our liquidity, results of operations and financial position may be adversely affected, which could cause material harm to our business. In addition, if certain of our lenders experience difficulties that render them unable to fund future draws on the facilities, we may not be able to access all or a portion of these funds, which could have similar adverse consequences.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LEGAL AND REGULATORY RISKS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products and solutions enable us to collect, manage and store a wide range of data.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In addition, the California Consumer Privacy Act, which took effect on January 1, 2020, provides new data privacy rights for California consumers, including the right to know what personal information is being collected about them and how it is being used. If our privacy or data security measures fail to comply, or are perceived to fail to comply, with current or future laws and regulations, we may be subject to litigation, regulatory investigations or other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Furthermore, there can be no assurance that our employees, contractors and agents will comply with the policies and procedures we establish regarding data privacy and data security, particularly as we expand our operations through organic growth and acquisitions. While our employees may violate our policies and procedures, we remain responsible for, and obligated to implement, policies and procedures and enter into contracts with service providers that require appropriate protection. Any violations could subject us to civil or criminal penalties, including substantial fines or prohibitions on our ability to offer our products in one or more countries, and could also materially damage our reputation, our brand, our international expansion efforts, our business, results of operations and financial condition.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transmission of data over the Internet and cellular networks is a critical component of our SaaS business model. Additionally, as cloud computing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solutions and products enable us to collect, manage and store a wide range of data. We obtain our data from a variety of sources, including our customers and third-party providers. The United States and various state governments have adopted or proposed limitations on the collection, distribution and use of personal data, as well as requirements that must be followed if a breach of such personal data occurs. We have updated and will continue to evaluate our group data protection and security policies, charters, and procedures to assist in maintaining data privacy and data security in line with international practices.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also be subject to costly notification and remediation requirements if we, or a third party, determines that we have been the subject of a data breach involving personal data of individuals. Data breach notification regulations vary among the countries where we conduct business, and also vary among the states of the United States, and any breach of personal data could be subject to any number of these requirements.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we have sought to implement internationally recognized practices regarding data privacy and data security. If our privacy or data security measures fail to comply, or are perceived to fail to comply, with current or future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and regulations, we may be subject to litigation, regulatory investigations or other liabilities. Moreover, if future laws and regulations limit our customers’ ability to use and share this data or our ability to store, process and share data with our customers over the Internet, demand for our solutions could decrease and our costs could increase. We might also have to limit the manner in which we collect data, the types of personal data that we collect, or the solutions we offer. Any of these risks would materially and adversely affect our business, results of operations and financial condition.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Enhanced United States fiscal, tax and trade restrictions and executive and legislative actions could adversely affect our business, financial condition, and results of operations.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United States and various other countries, with respect to trade policies, treaties, tariffs and taxes. Recent U.S. administrations have have implemented substantial changes to U.S. foreign trade policy with respect to China and other countries, including significant new and increased tariffs on goods imported into the United States. The current U.S. administration has announced increased tariffs and may put additional tariffs in place in the future.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taken actions to mitigate the impact of such tariffs, however, there is no assurance that all such efforts will be successful. These actions include importing our products from contract manufacturing locations outside of mainland China and working directly with U.S. Customs and Border Protection (“CBP”) to address the harmonized tariff codes used for our products.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some cases, the U.S. government’s imposition of trade restrictions involving products sold by certain Chinese manufacturers has caused U.S. wireless carriers to divert business from international providers to us, and accordingly, we have invested resources in satisfying the needs of such customers. If the U.S. government were to remove or reduce such trade restrictions, it could cause such carriers to reduce their business with us and we may be unable to recoup or attain a return on such investments.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2022, the Inflation Reduction Act of 2022 was signed into law which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the Treasury and we cannot predict how this legislation or any future changes in tax laws might affect us or purchasers of our securities. </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Tariffs and other trade restrictions may have an adverse impact on our business, operations and financial results.</w:t>
      </w:r>
    </w:p>
    <w:p>
      <w:pPr>
        <w:pStyle w:val="TextBody"/>
        <w:bidi w:val="0"/>
        <w:spacing w:lineRule="auto" w:line="276" w:before="120" w:after="12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source materials from, and manufacture products in, foreign countries, including countries in Asia, and we also sell products in foreign countries. As a result, the price and availability of our products is susceptible to international trade risks and other international conditions. For example, any economic and political uncertainty caused by the tariffs imposed on goods from other countries by the current administration of the United States, and any corresponding tariffs or currency devaluations from other countries in response, may negatively impact demand and/or increase the cost for certain of our products. Furthermore, the imposition of additional tariffs, duties, border adjustment taxes or other trade restrictions by the United States could result in the adoption of additional or increased tariffs or other trade restrictions by other countries. Tariffs may in the future increase our cost of materials and may cause us to increase prices to our customers, which we believe may reduce demand for our products. Our price increases may not be sufficient to fully offset the impact of tariffs and may result in lowering our margin on products sold. In sum, if the United States Government increases or implements additional tariffs, or if additional tariffs or trade restrictions are implemented by other countries, the resulting trade barriers could have a significant adverse impact on our suppliers, our customers and on our business. The volatility and unpredictability of international trade policies and conditions add further complexity to our operations, making it challenging to forecast and plan effectively. We are not able to predict future trade policy of the United States or of any foreign countries in which we operate or purchase goods, or the terms of any trade agreements or their impact on our business. The adoption and expansion of trade restrictions and tariffs, quotas and embargoes, the occurrence or threat of a trade war or other governmental action related to tariffs or trade agreements or policies, has the potential to adversely impact demand for our products, our costs, our customers, our suppliers and the world and U.S. economies, which in turn could have a material adverse effect on our business, operating results and financial condition.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The increasing focus on environmental sustainability and social initiatives could increase our costs, harm our reputation and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An assertion by a third party that we are infringing its intellectual property could subject us to costly and time-consuming litigation or expensive licenses and our business could be harmed.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technology industries involving wireless data communications,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our intellectual property and proprietary rights, our competitive position and our business could be harmed.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patent laws, trademark laws, copyright laws, trade secrets, confidentiality procedures and contractual provisions to protect our intellectual property and proprietary rights. However, our issued patents and any future patents that may be issued may not survive a legal challenge to their scope, validity or enforceability, or provide significant protection for us. The failure of our patents to adequately protect our technology might make it easier for our competitors to offer similar products or technologies. In addition, patents may not issue from any of our current or any future applications and significant portions of our intellectual property are held in the form of trade secrets which are not protected by patents.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CORPORATE DEVELOPMENT ACTIVITIES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may acquire companies and businesses, and/or divest assets or businesses. The completion of acquisition or divestiture transactions could have an adverse effect on our financial condition.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divest a business or exit a product line, it could result in any one of which could adversely affect our business, financial condition, results of operations or stock price: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cause a substantial decrease in revenue;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reduce gross margins and EBITDA;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take substantial charges in connection with disposed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Similarly, if we make an acquisition, we could take any or all of the following actions, any one of which could adversely affect our business, financial condition, results of operations or stock price:</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use a substantial portion of our available cash;</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incur substantial debt, which may not be available to us on favorable terms and may adversely affect our liquidity;</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issue equity or equity-based securities that would dilute the percentage ownership of existing stockholders;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assume contingent liabilities;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take substantial charges in connection with acquired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Acquired businesses may have liabilities or adverse operating issues that we fail to discover through due diligence prior to the acquisition, such as: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failure by previous management to comply with applicable laws or regulations;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inaccurate representations;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unfulfilled contractual obligations to customers or vendors.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our goodwill and acquired intangible assets become impaired, we may be required to record a significant charge to earnings.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Goodwill is required to be tested for impairment at least annually. Factors that may be considered when determining if the carrying value of our goodwill or intangible assets may not be recoverable include a significant decline in our expected future cash flows or a sustained, significant decline in our stock price and market capitalization.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a result of our acquisition strategy, we may have significant goodwill and intangible assets recorded on our balance sheets. In addition, significant negative industry or economic trends, such as those that have occurred as a result of the recent economic downturn, including reduced estimates of future cash flows or disruptions to our business could indicate that goodwill and intangible assets might be impaired. If, in any period our stock price decreases to the point where our market capitalization is less than our book value, this too could indicate a potential impairment and we may be required to record an impairment charge in that period. Our valuation methodology for assessing impairment requires management to make judgments and assumptions based on projections of future operating performance. The estimates used to calculate the fair value of a reporting unit change from year to year based on operating results and market conditions. Changes in these estimates and assumptions could materially affect the determination of fair value and goodwill impairment for each reporting unit. We operate in highly competitive environments and projections of future operating results and cash flows may vary significantly from actual results. As a result, we may incur substantial impairment charges to earnings in our financial statements should an impairment of our goodwill and intangible assets be determined resulting in an adverse impact on our results of operations.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RISKS RELATED TO OWNING OUR SECURITIES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share price has been highly volatile in the past and could be highly volatile in the future.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can be highly volatile due to the risks and uncertainties described in this report, as well as other factors, including: comments by securities analysts; announcements by us or others regarding, among other things,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operating results, additions or departures of key personnel, and acquisitions or divestitures; additional equity or debt financing; technological innovations; introductions of new products; litigation; price and volume fluctuations in the overall stock market; the level of demand for our stock, including the amount of short interest in our stock, and particularly with respect to market prices and trading volumes of other high technology stocks; and our failure to meet market expectations.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has from time to time experienced extreme price and volume fluctuations that were unrelated to the operating performance of particular companies. In the past, some companies have experienced volatility that subsequently resulted in securities class action litigation. If litigation were instituted on this basis, it could result in substantial costs and a diversion of management’s attention and resources.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U.S. federal net operating loss carryforwards (“NOLs”) related to tax years 2025 and 2022 and prior of approximately $374.0 million. Approximately $119.6 million of these NOLs have no expiration date. The remainder will begin to expire in 2030, unless previously utilized. Some of these NOLs may be limited by either past or future changes in control events. The Company has California NOLs at December 31, 2025 of approximately $64.8 million, which begin to expire in 2031, unless previously utilized, and no foreign NOLs for its active foreign subsidiaries. At December 31, 2025, the Company had federal research and development tax credit carryforwards, net of unrecognized tax benefits, of approximately $11.7 million, which begin to expire in 2026, unless previously utilized, and California research and development tax credit carryforwards, net of unrecognized tax benefits, of approximately $11.9 million, which have no expiration date. It is possible that we will not generate taxable income in time to use these NOLs before their expiration and additional NOLs will expire unused.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legislative changes made in December 2017, as modified by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Also, certain states have begun to limit the utilization of NOLs. In addition, the federal and state net operating loss carryforwards and certain tax credits may be subject to significant limitations under Section 382 and Section 383 of the Internal Revenue Code of 1986, as amended, or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pStyle w:val="TextBody"/>
        <w:bidi w:val="0"/>
        <w:spacing w:lineRule="auto" w:line="276" w:before="180" w:after="180"/>
        <w:jc w:val="left"/>
        <w:rPr/>
      </w:pPr>
      <w:r>
        <w:rPr>
          <w:rFonts w:ascii="Times New Roman;serif" w:hAnsi="Times New Roman;serif"/>
          <w:b/>
          <w:i/>
          <w:color w:val="000000"/>
          <w:sz w:val="20"/>
        </w:rPr>
        <w:t>The price of our stock may be vulnerable to manipulation, including through short sales.</w:t>
      </w:r>
      <w:r>
        <w:rPr>
          <w:color w:val="000000"/>
        </w:rPr>
        <w:t xml:space="preserve">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We believe there has been and may continue to be substantial off-market transactions in derivatives of our stock, including short selling activity or related similar activities, which are beyond our control and which may be beyond the full control of the SEC and Financial Institutions Regulatory Authority (“FINRA”).</w:t>
      </w:r>
      <w:r>
        <w:rPr>
          <w:color w:val="000000"/>
        </w:rPr>
        <w:t xml:space="preserve"> </w:t>
      </w:r>
      <w:r>
        <w:rPr>
          <w:rFonts w:ascii="Times New Roman;serif" w:hAnsi="Times New Roman;serif"/>
          <w:b w:val="false"/>
          <w:color w:val="000000"/>
          <w:sz w:val="20"/>
        </w:rPr>
        <w:t>Short sales are transactions in which a market participant sells a security that it does not own. To complete the transaction, the market participant must borrow the security to make delivery to the buyer. The market participant is then obligated to replace the security borrowed by purchasing the security at the market price at the time of required replacement. If the price at the time of replacement is lower than the price at which the security was originally sold by the market participant, then the market participant will realize a gain on the transaction. Thus, it is in the market participant’s interest for the market price of the underlying security to decline as much as possible during the period prior to the time of replacement. While SEC and FINRA rules prohibit some forms of short selling and other activities that may result in stock price manipulation, such activity may nonetheless occur without detection or enforcement. Significant short selling or other types of market manipulation could cause our stock trading price to decline, to become more volatile, or both.</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Previous short selling efforts have impacted, and may in the future continue to impact, the value of our stock in an extreme and volatile manner to our detriment and the detriment of our stockholders. In addition, market participants with admitted short positions in our stock have published, and may in the future continue to publish, negative information regarding us and our management team on internet sites or blogs that we believe is inaccurate and misleading. We believe that the publication of this negative information may in the future lead to significant downward pressure on the price of our stock to our detriment and the further detriment of our stockholders. These and other efforts by certain market participants to manipulate the price of our common stock for their personal financial gain may cause our stockholders to lose a portion of their investment, may make it more difficult for us to raise equity capital when needed without significantly diluting existing stockholders, and may reduce demand from new investors to purchase shares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Future issuances of common stock upon exercise of our outstanding warrants or pursuant to employee equity awards may result in dilution to existing stockholders, lower prevailing market prices for our common stock or require a significant cash outlay.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2.9 million outstanding warrants which are currently exercisable at the option of the holders, at exercise prices ranging from $11.27 to $15.77 per share. We also have granted equity awards to our executive officers and certain employees. As of December 31, 2025 there were 1,517,039 stock options outstanding, with a weighted average exercise price of $16.70, and 1,846,156 non-vested restricted stock units.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Certain provisions in the 2029 Senior Secured Notes Indenture could delay or prevent an otherwise beneficial takeover or takeover attempt of us.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Certain provisions in the 2029 Senior Secured Notes Indenture could make it more difficult or more expensive for a third party to acquire us and could delay or prevent an otherwise beneficial takeover or takeover attempt. For example, if a takeover would constitute a fundamental change (as defined in the 2029 Senior Secured Notes Indenture and/or the Indenture), holders of the 2029 Senior Secured Notes will have the right to require us to repurchase their notes in cash. As a result, our obligations under the 2029 Senior Secured Notes could increase the cost of acquiring us or otherwise discourage a third party from acquiring us</w:t>
      </w:r>
      <w:r>
        <w:rPr>
          <w:rFonts w:ascii="Times New Roman;serif" w:hAnsi="Times New Roman;serif"/>
          <w:b w:val="false"/>
          <w:color w:val="008080"/>
          <w:sz w:val="24"/>
        </w:rPr>
        <w:t>.</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Ownership of our common stock is concentrated, and as a result, certain stockholders may exercise significant influence over the Company.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Golden Harbor Ltd. and North Sound Management Inc. (together the “Investors”) and their affiliates beneficially owned an aggregate of approximately 18.3% and 13.9%, respectively, for an aggregate of approximately 32.2%, of the outstanding shares of our common stock. As a result, the Investors have the ability to significantly influence the outcome of any matter submitted for the vote of the holders of our common stock.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your ability to achieve a return on your investment will depend on appreciation, if any, in the price of our common stock.</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any future earnings for the development, operation and expansion of our business and do not anticipate declaring or paying any cash dividends for the foreseeable future. In addition, the terms of our debt agreements and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before="0" w:after="0"/>
        <w:ind w:left="0" w:right="0" w:firstLine="45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restated certificate of incorporation and restated bylaws and Delaware law could prevent a takeover that stockholders consider favorable and could also reduce the market price of our stock.</w:t>
      </w:r>
    </w:p>
    <w:p>
      <w:pPr>
        <w:pStyle w:val="TextBody"/>
        <w:bidi w:val="0"/>
        <w:spacing w:lineRule="auto" w:line="276"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restated bylaws contain provisions that could delay or prevent a change in control of us. These provisions could also make it more difficult for stockholders to elect directors and take other corporate actions. These provisions include: providing for a classified board of directors with staggered, three-year terms; authorizing the board of directors to issue, without stockholder approval, preferred stock with rights senior to those of our common stock; providing that vacancies on our board of directors be filled by appointment by the board of directors; prohibiting stockholder action by written consent; requiring that certain litigation must be brought in Delaware; limiting the persons who may call special meetings of stockholders; and requiring advance notification of stockholder nominations and proposals. In addition, we are subject to Section 203 of the Delaware General Corporation Law which may prohibit large stockholders, in particular those owning fifteen percent or more of our outstanding voting stock, from merging or combining with us for a certain period of time without the consent of our board of directors. These and other provisions in our restated certificate of incorporation and our restated bylaws and under the Delaware General Corporation Law could discourage potential takeover attempts, reduce the price that investors might be willing to pay in the future for shares of our common stock and result in the market price of our common stock being lower than it would be without these provisions.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financial or industry analysts do not publish research or reports about our business, or if they issue negative or misleading evaluations of our stock, our stock price and trading volume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over financial reporting, we may not be able to report our financial results timely and accurately, which could adversely affect investor confidence in us, and in turn, our results of operations and our stock price.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 xml:space="preserve">If the accounting estimates we make, and the assumptions on which we rely, in preparing our financial statements prove inaccurate, our actual results may be adversely affected.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financial statements have been prepared in accordance with accounting principles generally accepted in the United States. The preparation of these financial statements requires us to make estimates and judgments about, among other things, allowance for credit losses, provision for excess and obsolete inventory, valuation of intangible and long-lived assets, valuation of goodwill, royalty costs, accruals relating to litigation and restructuring, income taxes, share-based compensation expense and our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Changes to the accounting systems or new accounting system implementations may be ineffective or cause delays in our ability to record transactions and/or provide timely financial results.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change in our accounting systems or new accounting system implementations could cause trial balances to be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Any changes to existing accounting pronouncements or taxation rules or practices may cause adverse fluctuations in our reported results of operations or affect how we conduct our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quarterly operating results have fluctuated in the past and may fluctuate in the future, which could cause declines or volatility in the price of our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attract new customers and retain existing customers;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accurately forecast revenue and appropriately plan our expenses;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accurately predict changes in customer demand due to matters beyond our control;</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introduce new features, including integration of our existing solutions with third-party software and devices;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the actions of our competitors, including consolidation within the industry, pricing changes or the introduction of new services;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effectively manage our growth;</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our ability to attract and retain key employees, given intense competition for qualified personnel;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successfully manage and realize the anticipated benefits of any future divestitures or acquisitions of businesses, solutions or technologies;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our ability to successfully launch new services or solutions or sell existing services or solutions into additional geographies or vertical markets;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the timing and cost of developing or acquiring technologies, services or businesses;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the timing, operating costs, and capital expenditures related to the operation, maintenance and expansion of our business;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service outages or security breaches and any related occurrences which could impact our reputation;</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the impact of worldwide economic, industry, and market conditions, including disruptions in financial markets and the deterioration of the underlying economic conditions in some countries, rises in inflation and interest rates, and those conditions specific to Internet usage and online businesses;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the emergence of global events, which could extend lead times in our supply chain and lengthen sales cycles with our customers;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trade protection measures (such as tariffs and duties) and import or export licensing requirements;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costs associated with defending intellectual property infringement and other claims;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GENERAL RISK FACTORS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We may not be able to maintain and expand our business if we are not able to hire, retain and manage additional qualified personnel.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Our business may be adversely affected by unfavorable 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our results of operations and our financial condition could be adversely affected by various macroeconomic factors and the current and future conditions in the global financial markets. The global credit and financial markets have recently experienced extreme volatility and disruptions, including severely diminished liquidity and credit availability, declines in consumer confidence, declines in economic growth, rising interest rates, inflation, increases in unemployment rates and uncertainty about economic stability. The financial markets and the global economy may also be adversely affected by the current or anticipated impact of military conflicts, including the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affected countries and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w:t>
      </w:r>
    </w:p>
    <w:p>
      <w:pPr>
        <w:pStyle w:val="TextBody"/>
        <w:bidi w:val="0"/>
        <w:spacing w:lineRule="auto" w:line="276"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these macroeconomic factors could affect the ability of our current or potential future third-party manufacturers or sole source suppliers to remain in business, or otherwise maintain our manufacturing or supply demands, which could result in potential supply chain disruptions. This, along with any of the foregoing factors, could impact our financial conditions, results of operations and cash flows. We cannot anticipate all of the ways in which the current and future economic climate and financial market conditions could adversely impact our business.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Adverse economic conditions or reduced spending on information technology solutions may adversely impact our revenue and profitability.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pStyle w:val="TextBody"/>
        <w:bidi w:val="0"/>
        <w:spacing w:lineRule="auto" w:line="276" w:before="180" w:after="180"/>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We may be exposed to risks related to litigation and administrative proceedings that could materially and adversely affect our business, results of operations and financial condition.</w:t>
      </w:r>
    </w:p>
    <w:p>
      <w:pPr>
        <w:pStyle w:val="TextBody"/>
        <w:bidi w:val="0"/>
        <w:spacing w:lineRule="auto" w:line="276" w:before="180" w:after="18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intellectual property and other claims mentioned above, our business may expose us to litigation and administrative proceedings relating to labor, regulatory, tax proceedings, governmental investigations, tort claims, contractual disputes and criminal prosecution, among other matters, that could materially and adversely affect our business, results of operations, and financial condition. In the context of these proceedings, we may not only be required to pay fines or monetary damages but also be subject to sanctions or injunctions affecting our ability to continue our operations. While we may contest these matters vigorously and make insurance claims when appropriate, litigation and other proceedings are inherently costly and unpredictable, making it difficult to accurately estimate the outcome of actual or potential litigation or proceedings. Although we will establish provisions in accordance with the requirements of GAAP, the amounts that we reserve could vary significantly from any amounts we actually pay due to the inherent uncertainties in the estimation process. In addition, litigation and administrative proceedings can involve significant management time and attention and be expensive, regardless of outcome. During the course of any litigation and administrative proceedings, there may be announcements of the results of hearings and motions and other interim developments. If securities analysts or investors regard these announcements as negative, the trading price of our common stock may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1B.    </w:t>
      </w:r>
      <w:r>
        <w:rPr>
          <w:rFonts w:ascii="Times New Roman;serif" w:hAnsi="Times New Roman;serif"/>
          <w:b/>
          <w:i/>
          <w:color w:val="000000"/>
          <w:sz w:val="20"/>
        </w:rPr>
        <w:t xml:space="preserve">Unresolved Staff Comments </w:t>
      </w:r>
    </w:p>
    <w:p>
      <w:pPr>
        <w:pStyle w:val="TextBody"/>
        <w:bidi w:val="0"/>
        <w:spacing w:lineRule="auto" w:line="288" w:before="12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1C.    </w:t>
      </w:r>
      <w:r>
        <w:rPr>
          <w:rFonts w:ascii="Times New Roman;serif" w:hAnsi="Times New Roman;serif"/>
          <w:b/>
          <w:i/>
          <w:color w:val="000000"/>
          <w:sz w:val="20"/>
        </w:rPr>
        <w:t>Cybersecurity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recognize the critical importance of maintaining the safety and security of our technology systems and data and have a holistic process for overseeing and managing cybersecurity and information technology related risks. This process is supported by both management and our Board. The Audit Committee (the “Audit Committee”) of our Board has oversight of the Company’s risk management program, and cybersecurity is a component of our overall approach to risk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cybersecurity policies, standards, processes, and practices are integrated across our operational risk management programs and are based on recognized frameworks. A cybersecurity threat is any potential unauthorized occurrence, on or conducted through, our information systems that may result in material adverse effects on the confidentiality, integrity or availability of our information systems or any information residing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committed to protecting the security and integrity of our systems, networks, databases and applications and, as a result, have dedicated resources and implemented processes designed to prevent, assess, identify, and manage material risks associated with cybersecurity threats.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76" w:before="180" w:after="18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As one of the critical elements of our overall risk management program, our cybersecurity program is focused on the following key areas:</w:t>
      </w:r>
    </w:p>
    <w:p>
      <w:pPr>
        <w:pStyle w:val="TextBody"/>
        <w:bidi w:val="0"/>
        <w:spacing w:lineRule="auto" w:line="268" w:before="0" w:after="0"/>
        <w:ind w:left="0" w:right="0" w:firstLine="450"/>
        <w:jc w:val="left"/>
        <w:rPr/>
      </w:pPr>
      <w:r>
        <w:rPr>
          <w:color w:val="000000"/>
        </w:rPr>
        <w:t>•</w:t>
      </w:r>
      <w:r>
        <w:rPr>
          <w:rFonts w:ascii="Times New Roman;serif" w:hAnsi="Times New Roman;serif"/>
          <w:b/>
          <w:color w:val="231F20"/>
          <w:sz w:val="20"/>
        </w:rPr>
        <w:t xml:space="preserve">Technical Safeguards: </w:t>
      </w:r>
      <w:r>
        <w:rPr>
          <w:rFonts w:ascii="Times New Roman;serif" w:hAnsi="Times New Roman;serif"/>
          <w:b w:val="false"/>
          <w:color w:val="231F20"/>
          <w:sz w:val="20"/>
        </w:rPr>
        <w:t>We deploy technical safeguards that are designed to protect our information systems from cybersecurity threats, including firewalls, intrusion prevention and detection systems, anti-malware functionality,</w:t>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Security information and event management, Managed detection and response and access controls, which are regularly evaluated and improved through vulnerability assessments and cybersecurity threat intelligence.</w:t>
      </w:r>
    </w:p>
    <w:p>
      <w:pPr>
        <w:pStyle w:val="TextBody"/>
        <w:bidi w:val="0"/>
        <w:spacing w:lineRule="auto" w:line="276" w:before="180" w:after="180"/>
        <w:ind w:left="0" w:right="0" w:firstLine="450"/>
        <w:jc w:val="left"/>
        <w:rPr/>
      </w:pPr>
      <w:r>
        <w:rPr>
          <w:color w:val="000000"/>
        </w:rPr>
        <w:t>•</w:t>
      </w:r>
      <w:r>
        <w:rPr>
          <w:rFonts w:ascii="Times New Roman;serif" w:hAnsi="Times New Roman;serif"/>
          <w:b/>
          <w:color w:val="231F20"/>
          <w:sz w:val="20"/>
        </w:rPr>
        <w:t xml:space="preserve">Incident Response &amp; Recovery Planning: </w:t>
      </w:r>
      <w:r>
        <w:rPr>
          <w:rFonts w:ascii="Times New Roman;serif" w:hAnsi="Times New Roman;serif"/>
          <w:b w:val="false"/>
          <w:color w:val="231F20"/>
          <w:sz w:val="20"/>
        </w:rPr>
        <w:t>We have established and maintain incident response and recovery plans that address our response procedures in the event of a multitude of various cybersecurity incidents. We leverage a Managed Detection and Response service which further helps support our internal security team to identify real time threats across our landscape.</w:t>
      </w:r>
    </w:p>
    <w:p>
      <w:pPr>
        <w:pStyle w:val="TextBody"/>
        <w:bidi w:val="0"/>
        <w:spacing w:lineRule="auto" w:line="276" w:before="180" w:after="180"/>
        <w:ind w:left="0" w:right="0" w:firstLine="450"/>
        <w:jc w:val="left"/>
        <w:rPr/>
      </w:pPr>
      <w:r>
        <w:rPr>
          <w:color w:val="000000"/>
        </w:rPr>
        <w:t>•</w:t>
      </w:r>
      <w:r>
        <w:rPr>
          <w:rFonts w:ascii="Times New Roman;serif" w:hAnsi="Times New Roman;serif"/>
          <w:b/>
          <w:color w:val="231F20"/>
          <w:sz w:val="20"/>
        </w:rPr>
        <w:t xml:space="preserve">Risk Management: </w:t>
      </w:r>
      <w:r>
        <w:rPr>
          <w:rFonts w:ascii="Times New Roman;serif" w:hAnsi="Times New Roman;serif"/>
          <w:b w:val="false"/>
          <w:color w:val="231F20"/>
          <w:sz w:val="20"/>
        </w:rPr>
        <w:t xml:space="preserve">We maintain a preemptive and comprehensive risk-based approach to identifying and overseeing potential cybersecurity risks across our entire technology stack. Our cybersecurity program is built upon internationally recognized frameworks, such as ISO 27001, and maps to standards published by The National Institute of Standards and Technology. This approach also includes third-party risk management issues presented by third parties, including our vendors, service providers and other external users of our systems. We conduct cybersecurity assessments of third-party vendors that we engage with in our operations to identify and evaluate potential vulnerabilities. We also evaluate certain core operational capabilities of our third-party vendors. In addition, our agreements with material vendors include indemnification provisions with respect to cybersecurity matters. </w:t>
      </w:r>
    </w:p>
    <w:p>
      <w:pPr>
        <w:pStyle w:val="TextBody"/>
        <w:bidi w:val="0"/>
        <w:spacing w:lineRule="auto" w:line="276" w:before="180" w:after="180"/>
        <w:ind w:left="0" w:right="0" w:firstLine="450"/>
        <w:jc w:val="both"/>
        <w:rPr/>
      </w:pPr>
      <w:r>
        <w:rPr>
          <w:color w:val="000000"/>
        </w:rPr>
        <w:t>•</w:t>
      </w:r>
      <w:r>
        <w:rPr>
          <w:rFonts w:ascii="Times New Roman;serif" w:hAnsi="Times New Roman;serif"/>
          <w:b/>
          <w:color w:val="231F20"/>
          <w:sz w:val="20"/>
        </w:rPr>
        <w:t xml:space="preserve">Outside Consultants: </w:t>
      </w:r>
      <w:r>
        <w:rPr>
          <w:rFonts w:ascii="Times New Roman;serif" w:hAnsi="Times New Roman;serif"/>
          <w:b w:val="false"/>
          <w:color w:val="231F20"/>
          <w:sz w:val="20"/>
        </w:rPr>
        <w:t>In addition to the broad capabilities of our internal information security team, we also engage various outside consultants, including contractors, auditors, and other third parties, to among other things</w:t>
      </w:r>
      <w:r>
        <w:rPr>
          <w:rFonts w:ascii="Times New Roman;serif" w:hAnsi="Times New Roman;serif"/>
          <w:b w:val="false"/>
          <w:color w:val="000000"/>
          <w:sz w:val="20"/>
        </w:rPr>
        <w:t xml:space="preserve">, conduct regular testing of our networks and systems to identify vulnerabilities through penetration testing, while also measuring and advise on potential improvements to our incident prevention, response, and documentation procedures. </w:t>
      </w:r>
    </w:p>
    <w:p>
      <w:pPr>
        <w:pStyle w:val="TextBody"/>
        <w:bidi w:val="0"/>
        <w:spacing w:lineRule="auto" w:line="276" w:before="180" w:after="180"/>
        <w:ind w:left="0" w:right="0" w:firstLine="450"/>
        <w:jc w:val="left"/>
        <w:rPr/>
      </w:pPr>
      <w:r>
        <w:rPr>
          <w:color w:val="000000"/>
        </w:rPr>
        <w:t>•</w:t>
      </w:r>
      <w:r>
        <w:rPr>
          <w:rFonts w:ascii="Times New Roman;serif" w:hAnsi="Times New Roman;serif"/>
          <w:b/>
          <w:color w:val="231F20"/>
          <w:sz w:val="20"/>
        </w:rPr>
        <w:t xml:space="preserve">Team Member Education &amp; Awareness: </w:t>
      </w:r>
      <w:r>
        <w:rPr>
          <w:rFonts w:ascii="Times New Roman;serif" w:hAnsi="Times New Roman;serif"/>
          <w:b w:val="false"/>
          <w:color w:val="231F20"/>
          <w:sz w:val="20"/>
        </w:rPr>
        <w:t xml:space="preserve">We provide training to new team members, as well as frequent, mandatory training for all team members regarding cybersecurity threats to equip our team members with effective tools to identify and prevent cybersecurity threats, and to communicate our evolving information security policies, standards, processes and practices.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Governance &amp; Personnel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Board has delegated to the Audit Committee the responsibility for monitoring and overseeing our cybersecurity and other information technology risks, controls, strategies and procedures. The Audit Committee periodically evaluates our information security strategies to ensure effectiveness and, if appropriate, may also include a review from third-party consultants and experts. Senior management updates the Board and Audit Committee on matters regarding information security policies and procedures and cybersecurity risk management strategy. In addition, the full Board may review and assess cybersecurity risks as part of its responsibilities for our risk management oversight.</w:t>
      </w:r>
    </w:p>
    <w:p>
      <w:pPr>
        <w:pStyle w:val="TextBody"/>
        <w:bidi w:val="0"/>
        <w:spacing w:lineRule="auto" w:line="276" w:before="180" w:after="180"/>
        <w:ind w:left="0" w:right="0" w:firstLine="450"/>
        <w:jc w:val="left"/>
        <w:rPr>
          <w:rFonts w:ascii="Times New Roman;serif" w:hAnsi="Times New Roman;serif"/>
          <w:b w:val="false"/>
          <w:color w:val="231F20"/>
          <w:sz w:val="20"/>
        </w:rPr>
      </w:pPr>
      <w:r>
        <w:rPr>
          <w:rFonts w:ascii="Times New Roman;serif" w:hAnsi="Times New Roman;serif"/>
          <w:b w:val="false"/>
          <w:color w:val="231F20"/>
          <w:sz w:val="20"/>
        </w:rPr>
        <w:t xml:space="preserve">In addition, we have an IT Security Committee comprised of our top executives from across the Company, including our Chief Executive Officer, Chief Financial Officer, Vice President, Legal and Commercial Operations, and our Vice President, IT Transformation and AI. The IT Security Committee meets quarterly to discuss and address management of the risks facing our business. Technological risk is a regular component analyzed by our IT Security Committee to identify and assess potential cybersecurity risks across our business operations.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security team is led by our Vice President, IT Transformation and AI, who has multiple years of experience in information technology and cybersecurity. The information security team conducts periodic assessment and testing of our policies, standards, processes, and practices that are designed to address a multitude of potential cybersecurity threats and incidents. These efforts include a wide range of activities, including penetration testing, adoption and regular evaluation of incident response plans and procedures, regular team member email phishing test campaigns, email security monitoring, real-time vulnerability scanning and intrusion detection, team member cybersecurity awareness training, regular audits &amp; evaluations of internal and third-party systems, and continuous improvement of the information security management system.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Impact of cybersecurity risks on business strategy,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the date of this Form 10-K, there have been no cybersecurity incidents that have materially affected, or are likely to materially affect the Company’s business strategy,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2.    </w:t>
      </w:r>
      <w:r>
        <w:rPr>
          <w:rFonts w:ascii="Times New Roman;serif" w:hAnsi="Times New Roman;serif"/>
          <w:b/>
          <w:i/>
          <w:color w:val="000000"/>
          <w:sz w:val="20"/>
        </w:rPr>
        <w:t>Properties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in San Diego, California. Our corporate offices are located in San Diego, California where we lease approximately 25,000 square feet under lease agreements that expire in August 2027 and August 2030, in addition to approximately 12,000 square feet under a separate lease agreement that expires in July 2027. We further lease space in various geographic locations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3.    </w:t>
      </w:r>
      <w:r>
        <w:rPr>
          <w:rFonts w:ascii="Times New Roman;serif" w:hAnsi="Times New Roman;serif"/>
          <w:b/>
          <w:i/>
          <w:color w:val="000000"/>
          <w:sz w:val="20"/>
        </w:rPr>
        <w:t xml:space="preserve">Legal Proceedings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See Part IV Item 15 </w:t>
      </w:r>
      <w:r>
        <w:rPr>
          <w:rFonts w:ascii="Times New Roman;serif" w:hAnsi="Times New Roman;serif"/>
          <w:b w:val="false"/>
          <w:i/>
          <w:color w:val="000000"/>
          <w:sz w:val="20"/>
        </w:rPr>
        <w:t>Note 11 – Commitments and Contingencies</w:t>
      </w:r>
      <w:r>
        <w:rPr>
          <w:rFonts w:ascii="Times New Roman;serif" w:hAnsi="Times New Roman;serif"/>
          <w:b w:val="false"/>
          <w:color w:val="000000"/>
          <w:sz w:val="20"/>
        </w:rPr>
        <w:t xml:space="preserve">, in the accompanying consolidated financial statements for additional disclosure, which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4.    </w:t>
      </w:r>
      <w:r>
        <w:rPr>
          <w:rFonts w:ascii="Times New Roman;serif" w:hAnsi="Times New Roman;serif"/>
          <w:b/>
          <w:i/>
          <w:color w:val="000000"/>
          <w:sz w:val="20"/>
        </w:rPr>
        <w:t xml:space="preserve">Mine Safety Disclosures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Common Stock Data</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Shares of our common stock are currently quoted and traded on The Nasdaq Global Select Market under the symbol “INSG.”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Number of Stockholders of Record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February 13, 2026, there were approximately 19 holders of record of our common stock. Because many of the shares of our common stock are held by brokers and other institutions on behalf of stockholders, we are unable to estimate the total number of stockholders represented by these record holders.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Purchases of Equity Securities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6.    </w:t>
      </w:r>
      <w:r>
        <w:rPr>
          <w:rFonts w:ascii="Times New Roman;serif" w:hAnsi="Times New Roman;serif"/>
          <w:b/>
          <w:i/>
          <w:color w:val="000000"/>
          <w:sz w:val="20"/>
        </w:rPr>
        <w:t>Reserved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erif" w:hAnsi="Times New Roman;serif"/>
          <w:b/>
          <w:color w:val="000000"/>
          <w:sz w:val="20"/>
        </w:rPr>
        <w:t>Item 7.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 brand, have been sold to millions of end users and provide secure and convenient high-speed broadband access to the Internet on the go.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Business Segment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as one business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Repurchase of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Company entered into an Exchange Agreement with the Holder of all of the outstanding shares of the Company’s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on the Closing Date all of the 25,000 outstanding shares of Preferred Stock, which had a liquidation value of $42 million as of December 31, 2025, were surrendered and forfeited by the Holder in exchange for the following consideration, having an aggregate value of approximately $26 million and representing a discount of approximately 38% to the liquidation value: (i) $10 million in cash, one-third of which was paid on the Closing Date and the balance of which will be paid in two equal installments on the six and twelve month anniversaries of the Closing Date; (ii) 767,165 shares of the Company’s common stock, and (iii) $8 million in additional principal amount of the Company’s existing 2029 Senior Secured Notes. The Common Shares and the 2029 Senior Secured Notes were issued to the Holder on the Closing Date.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Exchange Agreement provides the Holder with customary registration rights with respect to the Common Shares, pursuant to which, among other things, the Company agreed to file a registration statement with the Securities and Exchange Commission within six months following the Closing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Debt Restructurings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the year ended December 31, 2024, the Company entered into a series of repurchase and exchange agreements with various holders of the Company’s 2025 Convertible Notes (as defined below),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(as defined below), 2.9 million shares of the Company’s common stock, and warrants to purchase an aggregate of approximately 2.5 million shares of the Company’s common stock. These exchanges have significantly improved the Company’s liquidity position.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remaining 2025 Convertible Notes matured on May 1, 2025, at which time all outstanding principal of $14.9 million and related accrued interest was repaid.</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Divestiture of Telematics Business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previously noted in </w:t>
      </w:r>
      <w:r>
        <w:rPr>
          <w:rFonts w:ascii="Times New Roman;serif" w:hAnsi="Times New Roman;serif"/>
          <w:b w:val="false"/>
          <w:i/>
          <w:color w:val="000000"/>
          <w:sz w:val="20"/>
        </w:rPr>
        <w:t>Part I. Item 1. Business</w:t>
      </w:r>
      <w:r>
        <w:rPr>
          <w:rFonts w:ascii="Times New Roman;serif" w:hAnsi="Times New Roman;serif"/>
          <w:b w:val="false"/>
          <w:color w:val="000000"/>
          <w:sz w:val="20"/>
        </w:rPr>
        <w:t xml:space="preserve">, 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$52.0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 The Purchase Agreement provided for a working capital adjustment, which was determined in December 2024 and funded in January 2025, resulting in an increase to the initial purchase consideration of $0.7 million as a result of changes in closing working capital and net debt.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and cash flows related to the divested Telematics Business have been classified as discontinued operations within the Consolidated Statements of Operations and Comprehensive Income and Consolidated Statements of Cash Flows for all periods presented within the consolidated financial statements included in Part IV, Item 15 of this Form 10-K. All discussion below relates to the Company’s continuing operations only, which excludes any results related to the divested Telematics Business, unless noted otherwise.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Factors Which May Influence Future Results of Operations</w:t>
      </w:r>
    </w:p>
    <w:p>
      <w:pPr>
        <w:pStyle w:val="TextBody"/>
        <w:bidi w:val="0"/>
        <w:spacing w:lineRule="auto" w:line="276" w:before="0" w:after="0"/>
        <w:jc w:val="left"/>
        <w:rPr/>
      </w:pPr>
      <w:r>
        <w:rPr>
          <w:rFonts w:ascii="Times New Roman;serif" w:hAnsi="Times New Roman;serif"/>
          <w:b w:val="false"/>
          <w:i/>
          <w:color w:val="000000"/>
          <w:sz w:val="20"/>
        </w:rPr>
        <w:t>Revenues.</w:t>
      </w:r>
      <w:r>
        <w:rPr>
          <w:color w:val="000000"/>
        </w:rPr>
        <w:t xml:space="preserve"> </w:t>
      </w:r>
      <w:r>
        <w:rPr>
          <w:rFonts w:ascii="Times New Roman;serif" w:hAnsi="Times New Roman;serif"/>
          <w:b w:val="false"/>
          <w:color w:val="000000"/>
          <w:sz w:val="20"/>
        </w:rPr>
        <w:t>We classify our revenues from the sale of our products and services into two categories: Product Revenue, which consists of our Mobile Solutions and Fixed Wireless Access Solutions, and Software Services and Other. A description of each of the current revenue classifications is as follows: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Mobile solutions</w:t>
      </w:r>
      <w:r>
        <w:rPr>
          <w:rFonts w:ascii="Times New Roman;serif" w:hAnsi="Times New Roman;serif"/>
          <w:b w:val="false"/>
          <w:i/>
          <w:color w:val="000000"/>
          <w:sz w:val="24"/>
        </w:rPr>
        <w:t xml:space="preserve">: </w:t>
      </w:r>
      <w:r>
        <w:rPr>
          <w:rFonts w:ascii="Times New Roman;serif" w:hAnsi="Times New Roman;serif"/>
          <w:b w:val="false"/>
          <w:color w:val="000000"/>
          <w:sz w:val="20"/>
        </w:rPr>
        <w:t>Our mobile broadband devices, sold under the MiFi brand, are actively used by millions of end users to provide secure and convenient high-speed access to corporate, public and personal information through the Internet and enterprise networks. Our mobile portfolio is supported by our cloud offering, Inseego Connect for device management, whose revenues are included in</w:t>
      </w:r>
      <w:r>
        <w:rPr>
          <w:color w:val="000000"/>
        </w:rPr>
        <w:t xml:space="preserve">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below. Our Mobile Solutions customer base is primarily comprised of mobile operators. These mobile operators include T-Mobile, Verizon Wireless, and AT&amp;T in the United States, Rogers and Telus in Canada, and various companies in other vertical markets.</w:t>
      </w:r>
    </w:p>
    <w:p>
      <w:pPr>
        <w:pStyle w:val="TextBody"/>
        <w:bidi w:val="0"/>
        <w:spacing w:before="0" w:after="0"/>
        <w:ind w:left="0" w:right="0" w:firstLine="45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Fixed wireless access solutions: </w:t>
      </w:r>
      <w:r>
        <w:rPr>
          <w:rFonts w:ascii="Times New Roman;serif" w:hAnsi="Times New Roman;serif"/>
          <w:b w:val="false"/>
          <w:color w:val="000000"/>
          <w:sz w:val="20"/>
        </w:rPr>
        <w:t xml:space="preserve">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 xml:space="preserve">below. These devices, sold under the Wavemaker brand, are sold by mobile operators such as T-Mobile, Verizon Wireless, and AT&amp;T along with distribution and channel partners.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A substantial majority of our software services and other revenue comes from providing a SaaS CSP wireless 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We believe that our future revenues may be influenced by a number of factors including:</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deployment of 5G infrastructure equipment;</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adoption of 5G end point products;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competition in the area of 5G technology;</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acceptance of our products by new vertical markets;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rate of change to new products;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economic environment and related market conditions;</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product pricing;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changes in technologies.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revenues are also significantly dependent upon the availability of materials and components used in our hardware products.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Cost of Revenues.</w:t>
      </w:r>
      <w:r>
        <w:rPr>
          <w:color w:val="000000"/>
        </w:rPr>
        <w:t xml:space="preserve"> </w:t>
      </w:r>
      <w:r>
        <w:rPr>
          <w:rFonts w:ascii="Times New Roman;serif" w:hAnsi="Times New Roman;serif"/>
          <w:b w:val="false"/>
          <w:color w:val="000000"/>
          <w:sz w:val="20"/>
        </w:rPr>
        <w:t>Cost of revenues includes all costs associated with our contract manufacturers, distribution, fulfillment and repair services, delivery of SaaS services, warranty costs, royalties, operations overhead, costs associated with cancellation of purchase orders and costs related to outside services. Also included in cost of revenues are costs related to write downs for excess and obsolete inventory and provisions for contract manufacturer liabilities. Inventory adjustments are impacted primarily by demand for our products, which is influenced by the factors discussed above.</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Operating Costs and Expenses. </w:t>
      </w:r>
      <w:r>
        <w:rPr>
          <w:rFonts w:ascii="Times New Roman;serif" w:hAnsi="Times New Roman;serif"/>
          <w:b w:val="false"/>
          <w:color w:val="000000"/>
          <w:sz w:val="20"/>
        </w:rPr>
        <w:t>Our operating costs consist of four primary categories: research and development, sales and marketing, general and administrative, and depreciation and amortization costs.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is at the core of our ability to produce innovative, leading-edge products. These expenses consist primarily of the cost of internal and third-party engineers and technicians who design and test our highly complex products, the cost of testing and certification services, including prototypes, and other necessary expenditures.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our sales force and product-marketing professionals. In order to maintain strong sales relationships, we provide co-marketing, trade show support and product training. We are also engaged in a variety of marketing activities, such as awareness and lead generation programs as well as product marketing. Other marketing initiatives include public relations, seminars and co-branding with partners.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primarily corporate functions such as accounting, human resources, legal, information technology, and professional fees. This category also includes the expenses needed to operate as a publicly 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w:t>
      </w:r>
    </w:p>
    <w:p>
      <w:pPr>
        <w:pStyle w:val="TextBody"/>
        <w:bidi w:val="0"/>
        <w:spacing w:lineRule="auto" w:line="276" w:before="180" w:after="180"/>
        <w:ind w:left="0" w:right="0" w:firstLine="450"/>
        <w:jc w:val="left"/>
        <w:rPr/>
      </w:pPr>
      <w:r>
        <w:rPr>
          <w:rFonts w:ascii="Times New Roman;serif" w:hAnsi="Times New Roman;serif"/>
          <w:b w:val="false"/>
          <w:i/>
          <w:color w:val="000000"/>
          <w:sz w:val="20"/>
          <w:shd w:fill="FFFFFF" w:val="clear"/>
        </w:rPr>
        <w:t>Depreciation and amortization expenses</w:t>
      </w:r>
      <w:r>
        <w:rPr>
          <w:rFonts w:ascii="Times New Roman;serif" w:hAnsi="Times New Roman;serif"/>
          <w:b w:val="false"/>
          <w:color w:val="000000"/>
          <w:sz w:val="20"/>
          <w:shd w:fill="FFFFFF" w:val="clear"/>
        </w:rPr>
        <w:t>. Our depreciation and amortization expenses primarily include amortization of capitalized software projects, depreciation on our property, plant, and equipment, and amortization of intangibles purchased through acquisitions.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Impairment of capitalized software. </w:t>
      </w:r>
      <w:r>
        <w:rPr>
          <w:rFonts w:ascii="Times New Roman;serif" w:hAnsi="Times New Roman;serif"/>
          <w:b w:val="false"/>
          <w:color w:val="000000"/>
          <w:sz w:val="20"/>
        </w:rPr>
        <w:t>Impairment expenses can be recorded on capitalized balances related to software intended for internal use and on software intended to be sold. Impairments of capitalized software intended for internal use are recorded when the carrying value of the asset group to which the software belongs is not recoverable and exceeds its fair value. Impairments of capitalized software intended to be sold are recorded when the net realizable value of the asset falls below its carrying value.</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Operating Results. </w:t>
      </w:r>
      <w:r>
        <w:rPr>
          <w:rFonts w:ascii="Times New Roman;serif" w:hAnsi="Times New Roman;serif"/>
          <w:b w:val="false"/>
          <w:color w:val="000000"/>
          <w:sz w:val="20"/>
        </w:rPr>
        <w:t xml:space="preserve">Our results are affected by numerous macroeconomic factors including inflation, consumer spending confidence, component costs and global supply chains. The existence of inflation in the U.S. and global economy has resulted in, and may continue to result in, higher interest rates and capital costs, increased costs of labor, fluctuating exchange rates and other similar effects. If the inflation rate increases, it could affect our expenses, especially employee compensation expense. Inflation and related increases in interest rates could also increase our customers' operating costs, which could result in reduced operating budgets. To the extent our products are perceived by customers and potential customers as discretionary, our revenue may be disproportionately affected by delays or reductions in general information technology spending. Such delays or reductions in technology spending are often associated with enhanced budget scrutiny by our customers including additional levels of approvals, cloud optimization efforts and additional time to evaluate and test our products, which can lead to long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unpredictable sales cycles. Such increases have, and may continue to have, a negative impact on the Company’s revenue and profit margins, if the selling prices of products do not increase with the increased costs. Recently, a worldwide shortage of memory chips has occurred, which could impact our operations if we are unable to secure adequate supply of memory chips for our products. In addition our operating results could be impacted if we obtain memory chips at inflated prices and are unable to pass on these price increases to our customers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in dollars (in thousands) and expressed as a percentage of revenues, derived from the accompanying consolidated financial statements for the periods indicated.</w:t>
      </w:r>
    </w:p>
    <w:tbl>
      <w:tblPr>
        <w:tblW w:w="10205" w:type="dxa"/>
        <w:jc w:val="left"/>
        <w:tblInd w:w="0" w:type="dxa"/>
        <w:tblLayout w:type="fixed"/>
        <w:tblCellMar>
          <w:top w:w="28" w:type="dxa"/>
          <w:left w:w="28" w:type="dxa"/>
          <w:bottom w:w="28" w:type="dxa"/>
          <w:right w:w="28" w:type="dxa"/>
        </w:tblCellMar>
      </w:tblPr>
      <w:tblGrid>
        <w:gridCol w:w="2305"/>
        <w:gridCol w:w="1943"/>
        <w:gridCol w:w="1949"/>
        <w:gridCol w:w="196"/>
        <w:gridCol w:w="646"/>
        <w:gridCol w:w="109"/>
        <w:gridCol w:w="278"/>
        <w:gridCol w:w="278"/>
        <w:gridCol w:w="256"/>
        <w:gridCol w:w="109"/>
        <w:gridCol w:w="109"/>
        <w:gridCol w:w="109"/>
        <w:gridCol w:w="196"/>
        <w:gridCol w:w="646"/>
        <w:gridCol w:w="109"/>
        <w:gridCol w:w="278"/>
        <w:gridCol w:w="278"/>
        <w:gridCol w:w="256"/>
        <w:gridCol w:w="155"/>
      </w:tblGrid>
      <w:tr>
        <w:trPr/>
        <w:tc>
          <w:tcPr>
            <w:tcW w:w="230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853" w:type="dxa"/>
            <w:gridSpan w:val="15"/>
            <w:vMerge w:val="restart"/>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853" w:type="dxa"/>
            <w:gridSpan w:val="15"/>
            <w:vMerge w:val="continue"/>
            <w:tcBorders>
              <w:top w:val="single" w:sz="8" w:space="0" w:color="000000"/>
            </w:tcBorders>
            <w:shd w:fill="FFFFFF" w:val="clear"/>
            <w:tcMar>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restructurings,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income tax provision of $400 and $1,956,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6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Year Ended December 31, 2025 Compared to Year Ended December 31, 2024 </w:t>
      </w:r>
    </w:p>
    <w:p>
      <w:pPr>
        <w:pStyle w:val="TextBody"/>
        <w:bidi w:val="0"/>
        <w:spacing w:lineRule="auto" w:line="276" w:before="180" w:after="180"/>
        <w:ind w:left="0" w:right="0" w:firstLine="450"/>
        <w:jc w:val="left"/>
        <w:rPr/>
      </w:pPr>
      <w:r>
        <w:rPr>
          <w:rFonts w:ascii="Times New Roman;serif" w:hAnsi="Times New Roman;serif"/>
          <w:b/>
          <w:i/>
          <w:color w:val="000000"/>
          <w:sz w:val="20"/>
        </w:rPr>
        <w:t>Revenues</w:t>
      </w:r>
      <w:r>
        <w:rPr>
          <w:rFonts w:ascii="Times New Roman;serif" w:hAnsi="Times New Roman;serif"/>
          <w:b w:val="false"/>
          <w:color w:val="000000"/>
          <w:sz w:val="20"/>
        </w:rPr>
        <w:t>. Revenues for the year ended December 31, 2025 were $166.2 million, a decrease of $25.1 million, or 13.1%, compared to the same period in 2024.</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revenues by category (dollars in thousands):</w:t>
      </w:r>
    </w:p>
    <w:tbl>
      <w:tblPr>
        <w:tblW w:w="7597" w:type="dxa"/>
        <w:jc w:val="left"/>
        <w:tblInd w:w="0" w:type="dxa"/>
        <w:tblLayout w:type="fixed"/>
        <w:tblCellMar>
          <w:top w:w="28" w:type="dxa"/>
          <w:left w:w="28" w:type="dxa"/>
          <w:bottom w:w="28" w:type="dxa"/>
          <w:right w:w="28" w:type="dxa"/>
        </w:tblCellMar>
      </w:tblPr>
      <w:tblGrid>
        <w:gridCol w:w="847"/>
        <w:gridCol w:w="746"/>
        <w:gridCol w:w="747"/>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wireless access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Mobile solutions.</w:t>
      </w:r>
      <w:r>
        <w:rPr>
          <w:color w:val="000000"/>
        </w:rPr>
        <w:t xml:space="preserve"> </w:t>
      </w:r>
      <w:r>
        <w:rPr>
          <w:rFonts w:ascii="Times New Roman;serif" w:hAnsi="Times New Roman;serif"/>
          <w:b w:val="false"/>
          <w:color w:val="000000"/>
          <w:sz w:val="20"/>
        </w:rPr>
        <w:t>The $31.0 million decrease in mobile solutions revenues is primarily due to decreased sales with one of our carrier partners due to significant promotional activity in the prior period.</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Fixed wireless access solutions.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 xml:space="preserve">$2.1 million increase in fixed wireless access solutions revenues is primarily due to increased sales of current generation of fixed wireless access products to one of our carrier partners that launched during the second quarter of 2025, partially offset by decreased sales in our channel program.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The $3.8 million increase in software services and other revenues is primarily due to increased Inseego Subscribe revenues related to the terms of a two-year service contract with a major customer that was executed in April 2024 and subsequently extended through July 2026.</w:t>
      </w:r>
    </w:p>
    <w:p>
      <w:pPr>
        <w:pStyle w:val="TextBody"/>
        <w:bidi w:val="0"/>
        <w:spacing w:lineRule="auto" w:line="276" w:before="180" w:after="180"/>
        <w:ind w:left="0" w:right="0" w:firstLine="450"/>
        <w:jc w:val="left"/>
        <w:rPr/>
      </w:pPr>
      <w:r>
        <w:rPr>
          <w:rFonts w:ascii="Times New Roman;serif" w:hAnsi="Times New Roman;serif"/>
          <w:b/>
          <w:i/>
          <w:color w:val="000000"/>
          <w:sz w:val="20"/>
        </w:rPr>
        <w:t>Cost of revenues.</w:t>
      </w:r>
      <w:r>
        <w:rPr>
          <w:color w:val="000000"/>
        </w:rPr>
        <w:t xml:space="preserve"> </w:t>
      </w:r>
      <w:r>
        <w:rPr>
          <w:rFonts w:ascii="Times New Roman;serif" w:hAnsi="Times New Roman;serif"/>
          <w:b w:val="false"/>
          <w:color w:val="000000"/>
          <w:sz w:val="20"/>
        </w:rPr>
        <w:t xml:space="preserve">Cost of revenues for the year ended December 31, 2025 was $95.2 million, or 57.3% of revenues, compared to $122.4 million, or 64.0% of revenues, for the same period in 2024.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cost of revenues by category (dollars in thousands):</w:t>
      </w:r>
    </w:p>
    <w:tbl>
      <w:tblPr>
        <w:tblW w:w="7251" w:type="dxa"/>
        <w:jc w:val="left"/>
        <w:tblInd w:w="0" w:type="dxa"/>
        <w:tblLayout w:type="fixed"/>
        <w:tblCellMar>
          <w:top w:w="28" w:type="dxa"/>
          <w:left w:w="28" w:type="dxa"/>
          <w:bottom w:w="28" w:type="dxa"/>
          <w:right w:w="28" w:type="dxa"/>
        </w:tblCellMar>
      </w:tblPr>
      <w:tblGrid>
        <w:gridCol w:w="754"/>
        <w:gridCol w:w="664"/>
        <w:gridCol w:w="666"/>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i/>
          <w:color w:val="000000"/>
          <w:sz w:val="20"/>
        </w:rPr>
        <w:t>Product.</w:t>
      </w:r>
      <w:r>
        <w:rPr>
          <w:color w:val="000000"/>
        </w:rPr>
        <w:t xml:space="preserve"> </w:t>
      </w:r>
      <w:r>
        <w:rPr>
          <w:rFonts w:ascii="Times New Roman;serif" w:hAnsi="Times New Roman;serif"/>
          <w:b w:val="false"/>
          <w:color w:val="000000"/>
          <w:sz w:val="20"/>
        </w:rPr>
        <w:t>The $25.9 million decrease in product cost of revenues is primarily due to decreased product revenues.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The $1.4 million decrease in software services and other cost of revenues is primarily due to decreased outside service costs related to Inseego Subscribe revenues, decreased annual incentive bonus accruals, and decreased non-recurring engineering revenues and the related costs of performing those services.</w:t>
      </w:r>
    </w:p>
    <w:p>
      <w:pPr>
        <w:pStyle w:val="TextBody"/>
        <w:bidi w:val="0"/>
        <w:spacing w:lineRule="auto" w:line="276" w:before="180" w:after="180"/>
        <w:ind w:left="0" w:right="0" w:firstLine="450"/>
        <w:jc w:val="left"/>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Gross profit for the year ended December 31, 2025 was $71.0 million, or a gross margin of 42.7%, compared to $68.8 million, or a gross margin of 36.0%, for the same period in 2024. The increase in both gross profit and gross margin is primarily due to increased higher margin Inseego Subscribe service and fixed wireless access solutions product revenues, both in total and as a percentage of total revenues, partially offset by decreased mobile solutions product revenues.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Operating costs and expenses. </w:t>
      </w:r>
      <w:r>
        <w:rPr>
          <w:rFonts w:ascii="Times New Roman;serif" w:hAnsi="Times New Roman;serif"/>
          <w:b w:val="false"/>
          <w:color w:val="000000"/>
          <w:sz w:val="20"/>
        </w:rPr>
        <w:t>The following table summarizes operating costs and expenses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7416"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196"/>
        <w:gridCol w:w="646"/>
        <w:gridCol w:w="109"/>
        <w:gridCol w:w="109"/>
        <w:gridCol w:w="109"/>
        <w:gridCol w:w="109"/>
        <w:gridCol w:w="196"/>
        <w:gridCol w:w="646"/>
        <w:gridCol w:w="109"/>
        <w:gridCol w:w="109"/>
        <w:gridCol w:w="109"/>
        <w:gridCol w:w="109"/>
        <w:gridCol w:w="196"/>
        <w:gridCol w:w="496"/>
        <w:gridCol w:w="109"/>
        <w:gridCol w:w="109"/>
        <w:gridCol w:w="109"/>
        <w:gridCol w:w="109"/>
        <w:gridCol w:w="268"/>
        <w:gridCol w:w="272"/>
        <w:gridCol w:w="30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80" w:after="180"/>
        <w:ind w:left="0" w:right="0" w:firstLine="450"/>
        <w:jc w:val="left"/>
        <w:rPr/>
      </w:pPr>
      <w:r>
        <w:rPr>
          <w:rFonts w:ascii="Times New Roman;serif" w:hAnsi="Times New Roman;serif"/>
          <w:b/>
          <w:i/>
          <w:color w:val="000000"/>
          <w:sz w:val="20"/>
        </w:rPr>
        <w:t>Research and development expenses.</w:t>
      </w:r>
      <w:r>
        <w:rPr>
          <w:color w:val="000000"/>
        </w:rPr>
        <w:t xml:space="preserve"> </w:t>
      </w:r>
      <w:r>
        <w:rPr>
          <w:rFonts w:ascii="Times New Roman;serif" w:hAnsi="Times New Roman;serif"/>
          <w:b w:val="false"/>
          <w:color w:val="000000"/>
          <w:sz w:val="20"/>
        </w:rPr>
        <w:t xml:space="preserve">Research and development expenses for the year ended December 31, 2025 were $19.8 million, or 11.9% of revenues, compared to $20.6 million, or 10.8% of revenues, for the same period in 2024. The decrease in research and development expenses was primarily due to more research and development projects that were capitalizable during the year ended December 31, 2025, which resulted in a less research and development costs being recorded as operating expenses, and decreased annual incentive bonus accruals, partially offset by increased outside services costs and prototype and certification costs related to the Company’s increased development efforts for its next line of products. </w:t>
      </w:r>
    </w:p>
    <w:p>
      <w:pPr>
        <w:pStyle w:val="TextBody"/>
        <w:bidi w:val="0"/>
        <w:spacing w:lineRule="auto" w:line="276" w:before="180" w:after="180"/>
        <w:ind w:left="0" w:right="0" w:firstLine="450"/>
        <w:jc w:val="left"/>
        <w:rPr/>
      </w:pPr>
      <w:r>
        <w:rPr>
          <w:rFonts w:ascii="Times New Roman;serif" w:hAnsi="Times New Roman;serif"/>
          <w:b/>
          <w:i/>
          <w:color w:val="000000"/>
          <w:sz w:val="20"/>
        </w:rPr>
        <w:t>Sales and marketing expenses.</w:t>
      </w:r>
      <w:r>
        <w:rPr>
          <w:color w:val="000000"/>
        </w:rPr>
        <w:t xml:space="preserve"> </w:t>
      </w:r>
      <w:r>
        <w:rPr>
          <w:rFonts w:ascii="Times New Roman;serif" w:hAnsi="Times New Roman;serif"/>
          <w:b w:val="false"/>
          <w:color w:val="000000"/>
          <w:sz w:val="20"/>
        </w:rPr>
        <w:t>Sales and marketing expenses for the year ended December 31, 2025 were $17.4 million, or 10.5% of revenues, compared to $16.0 million, or 8.3% of revenues, for the same period in 2024. The increase in sales and marketing expenses was primarily due to increased sales personnel-related compensation costs as a result of an increase in overall sales headcount, partially offset by decreased sales commissions as a result of lower sales and decreased annual incentive bonus accruals.</w:t>
      </w:r>
    </w:p>
    <w:p>
      <w:pPr>
        <w:pStyle w:val="TextBody"/>
        <w:bidi w:val="0"/>
        <w:spacing w:lineRule="auto" w:line="276" w:before="180" w:after="180"/>
        <w:ind w:left="0" w:right="0" w:firstLine="450"/>
        <w:jc w:val="left"/>
        <w:rPr/>
      </w:pPr>
      <w:r>
        <w:rPr>
          <w:rFonts w:ascii="Times New Roman;serif" w:hAnsi="Times New Roman;serif"/>
          <w:b/>
          <w:i/>
          <w:color w:val="000000"/>
          <w:sz w:val="20"/>
        </w:rPr>
        <w:t>General and administrative expenses.</w:t>
      </w:r>
      <w:r>
        <w:rPr>
          <w:color w:val="000000"/>
        </w:rPr>
        <w:t xml:space="preserve"> </w:t>
      </w:r>
      <w:r>
        <w:rPr>
          <w:rFonts w:ascii="Times New Roman;serif" w:hAnsi="Times New Roman;serif"/>
          <w:b w:val="false"/>
          <w:color w:val="000000"/>
          <w:sz w:val="20"/>
        </w:rPr>
        <w:t>General and administrative expenses for the year ended December 31, 2025 were $20.8 million, or 12.5% of revenues, compared to $17.2 million, or 9.0% of revenues, for the same period in 2024. The increase in general and administrative expense was primarily due to an increase in share-based compensation expense related to awards issued to the Company’s CEO who was hired in January 2025, partially offset by decreased annual incentive bonus accruals and a gain on early lease termination recorded during 2025.</w:t>
      </w:r>
    </w:p>
    <w:p>
      <w:pPr>
        <w:pStyle w:val="TextBody"/>
        <w:bidi w:val="0"/>
        <w:spacing w:lineRule="auto" w:line="276" w:before="180" w:after="180"/>
        <w:ind w:left="0" w:right="0" w:firstLine="450"/>
        <w:jc w:val="left"/>
        <w:rPr/>
      </w:pPr>
      <w:r>
        <w:rPr>
          <w:rFonts w:ascii="Times New Roman;serif" w:hAnsi="Times New Roman;serif"/>
          <w:b/>
          <w:i/>
          <w:color w:val="000000"/>
          <w:sz w:val="20"/>
        </w:rPr>
        <w:t>Depreciation and amortization expenses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Depreciation and amortization expenses for the year ended December 31, 2025 was $8.3 million, or 5.0% of revenues, compared to $12.4 million, or 6.5% of revenues, for the same period in 2024. The decrease in depreciation and amortization expenses was primarily due to the capitalized costs on the Company’s next generation of software intended for sale being capitalized but not amortizable during all or most of the year ended December 31, 2025 and the ending of the useful life of certain amortizable purchased intangibles.</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Impairment of capitalized software. </w:t>
      </w:r>
      <w:r>
        <w:rPr>
          <w:rFonts w:ascii="Times New Roman;serif" w:hAnsi="Times New Roman;serif"/>
          <w:b w:val="false"/>
          <w:color w:val="000000"/>
          <w:sz w:val="20"/>
        </w:rPr>
        <w:t xml:space="preserve">For the years ended December 31, 2025 and 2024, we recorded impairments of $0.4 million and $0.9 million, respectively. </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w:t>
      </w:r>
      <w:r>
        <w:rPr>
          <w:color w:val="000000"/>
        </w:rPr>
        <w:t xml:space="preserve"> </w:t>
      </w:r>
      <w:r>
        <w:rPr>
          <w:rFonts w:ascii="Times New Roman;serif" w:hAnsi="Times New Roman;serif"/>
          <w:b w:val="false"/>
          <w:color w:val="000000"/>
          <w:sz w:val="20"/>
        </w:rPr>
        <w:t>The following table summarizes other income (expense) (dollars in thousands):</w:t>
      </w:r>
    </w:p>
    <w:tbl>
      <w:tblPr>
        <w:tblW w:w="8425" w:type="dxa"/>
        <w:jc w:val="left"/>
        <w:tblInd w:w="0" w:type="dxa"/>
        <w:tblLayout w:type="fixed"/>
        <w:tblCellMar>
          <w:top w:w="28" w:type="dxa"/>
          <w:left w:w="28" w:type="dxa"/>
          <w:bottom w:w="28" w:type="dxa"/>
          <w:right w:w="28" w:type="dxa"/>
        </w:tblCellMar>
      </w:tblPr>
      <w:tblGrid>
        <w:gridCol w:w="1339"/>
        <w:gridCol w:w="1171"/>
        <w:gridCol w:w="1180"/>
        <w:gridCol w:w="196"/>
        <w:gridCol w:w="631"/>
        <w:gridCol w:w="109"/>
        <w:gridCol w:w="109"/>
        <w:gridCol w:w="109"/>
        <w:gridCol w:w="109"/>
        <w:gridCol w:w="196"/>
        <w:gridCol w:w="721"/>
        <w:gridCol w:w="109"/>
        <w:gridCol w:w="109"/>
        <w:gridCol w:w="109"/>
        <w:gridCol w:w="109"/>
        <w:gridCol w:w="196"/>
        <w:gridCol w:w="646"/>
        <w:gridCol w:w="109"/>
        <w:gridCol w:w="109"/>
        <w:gridCol w:w="109"/>
        <w:gridCol w:w="109"/>
        <w:gridCol w:w="269"/>
        <w:gridCol w:w="271"/>
        <w:gridCol w:w="301"/>
      </w:tblGrid>
      <w:tr>
        <w:trPr/>
        <w:tc>
          <w:tcPr>
            <w:tcW w:w="133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restructurings,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16"/>
        </w:rPr>
      </w:pPr>
      <w:r>
        <w:rPr>
          <w:rFonts w:ascii="Times New Roman;serif" w:hAnsi="Times New Roman;serif"/>
          <w:b w:val="false"/>
          <w:i/>
          <w:color w:val="000000"/>
          <w:sz w:val="16"/>
        </w:rPr>
        <w:t>* Percentage not meaningful</w:t>
      </w:r>
    </w:p>
    <w:p>
      <w:pPr>
        <w:pStyle w:val="TextBody"/>
        <w:bidi w:val="0"/>
        <w:spacing w:lineRule="auto" w:line="276" w:before="180" w:after="180"/>
        <w:ind w:left="0" w:right="0" w:firstLine="45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The $7.1 million decrease in interest expense, net for the year ended December 31, 2025 over the same period in 2024 was primarily a result the Company’s various repurchases and exchanges of the 2025 Convertible Notes (as defined below) that occurred during 2024 and the full repayment of the remaining 2025 Convertible Notes on May 1, 2025, resulting in lower coupon interest, partially offset by interest expense on the Company’s 2029 Senior Secured Notes (as defined below) that were issued in the fourth quarter of 2024.</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Loss on debt restructurings, net </w:t>
      </w:r>
      <w:r>
        <w:rPr>
          <w:rFonts w:ascii="Times New Roman;serif" w:hAnsi="Times New Roman;serif"/>
          <w:b w:val="false"/>
          <w:color w:val="000000"/>
          <w:sz w:val="20"/>
        </w:rPr>
        <w:t xml:space="preserve">The $2.9 million net loss on debt restructurings for the year ended </w:t>
      </w:r>
      <w:r>
        <w:rPr>
          <w:rFonts w:ascii="Times New Roman;serif" w:hAnsi="Times New Roman;serif"/>
          <w:b w:val="false"/>
          <w:color w:val="000000"/>
          <w:sz w:val="20"/>
          <w:shd w:fill="FFFFFF" w:val="clear"/>
        </w:rPr>
        <w:t>December 31, 2024</w:t>
      </w:r>
      <w:r>
        <w:rPr>
          <w:color w:val="000000"/>
        </w:rPr>
        <w:t xml:space="preserve"> </w:t>
      </w:r>
      <w:r>
        <w:rPr>
          <w:rFonts w:ascii="Times New Roman;serif" w:hAnsi="Times New Roman;serif"/>
          <w:b w:val="false"/>
          <w:color w:val="000000"/>
          <w:sz w:val="20"/>
        </w:rPr>
        <w:t>is a result of the Company’s 2025 Convertible Notes</w:t>
      </w:r>
      <w:r>
        <w:rPr>
          <w:color w:val="000000"/>
          <w:shd w:fill="FFFFFF" w:val="clear"/>
        </w:rPr>
        <w:t xml:space="preserve"> </w:t>
      </w:r>
      <w:r>
        <w:rPr>
          <w:rFonts w:ascii="Times New Roman;serif" w:hAnsi="Times New Roman;serif"/>
          <w:b w:val="false"/>
          <w:color w:val="000000"/>
          <w:sz w:val="20"/>
        </w:rPr>
        <w:t>restructurings entered into during 2024 as part of our overall capital structure management efforts,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Loss on extinguishment of revolving credit facility </w:t>
      </w:r>
      <w:r>
        <w:rPr>
          <w:rFonts w:ascii="Times New Roman;serif" w:hAnsi="Times New Roman;serif"/>
          <w:b w:val="false"/>
          <w:color w:val="000000"/>
          <w:sz w:val="20"/>
        </w:rPr>
        <w:t xml:space="preserve">The $0.8 million loss on extinguishment of revolving credit facility for the year ended </w:t>
      </w:r>
      <w:r>
        <w:rPr>
          <w:rFonts w:ascii="Times New Roman;serif" w:hAnsi="Times New Roman;serif"/>
          <w:b w:val="false"/>
          <w:color w:val="000000"/>
          <w:sz w:val="20"/>
          <w:shd w:fill="FFFFFF" w:val="clear"/>
        </w:rPr>
        <w:t>December 31, 2024</w:t>
      </w:r>
      <w:r>
        <w:rPr>
          <w:color w:val="000000"/>
        </w:rPr>
        <w:t xml:space="preserve"> </w:t>
      </w:r>
      <w:r>
        <w:rPr>
          <w:rFonts w:ascii="Times New Roman;serif" w:hAnsi="Times New Roman;serif"/>
          <w:b w:val="false"/>
          <w:color w:val="000000"/>
          <w:sz w:val="20"/>
        </w:rPr>
        <w:t xml:space="preserve">relates to the voluntary early termination of the Company’s Prior Credit Facility (as defined in </w:t>
      </w:r>
      <w:r>
        <w:rPr>
          <w:rFonts w:ascii="Times New Roman;serif" w:hAnsi="Times New Roman;serif"/>
          <w:b w:val="false"/>
          <w:i/>
          <w:color w:val="000000"/>
          <w:sz w:val="20"/>
        </w:rPr>
        <w:t>Note 6 – Debt</w:t>
      </w:r>
      <w:r>
        <w:rPr>
          <w:color w:val="000000"/>
        </w:rPr>
        <w:t xml:space="preserve"> </w:t>
      </w:r>
      <w:r>
        <w:rPr>
          <w:rFonts w:ascii="Times New Roman;serif" w:hAnsi="Times New Roman;serif"/>
          <w:b w:val="false"/>
          <w:color w:val="000000"/>
          <w:sz w:val="20"/>
        </w:rPr>
        <w:t>in the accompanying condensed consolidated financial statements) in April 2024.</w:t>
      </w:r>
    </w:p>
    <w:p>
      <w:pPr>
        <w:pStyle w:val="TextBody"/>
        <w:bidi w:val="0"/>
        <w:spacing w:lineRule="auto" w:line="276" w:before="180" w:after="180"/>
        <w:ind w:left="0" w:right="0" w:firstLine="450"/>
        <w:jc w:val="left"/>
        <w:rPr/>
      </w:pPr>
      <w:r>
        <w:rPr>
          <w:rFonts w:ascii="Times New Roman;serif" w:hAnsi="Times New Roman;serif"/>
          <w:b/>
          <w:i/>
          <w:color w:val="000000"/>
          <w:sz w:val="20"/>
        </w:rPr>
        <w:t>Other income (expense), net.</w:t>
      </w:r>
      <w:r>
        <w:rPr>
          <w:color w:val="000000"/>
        </w:rPr>
        <w:t xml:space="preserve"> </w:t>
      </w:r>
      <w:r>
        <w:rPr>
          <w:rFonts w:ascii="Times New Roman;serif" w:hAnsi="Times New Roman;serif"/>
          <w:b w:val="false"/>
          <w:color w:val="000000"/>
          <w:sz w:val="20"/>
        </w:rPr>
        <w:t>Other income (expense), net for the years ended December 31, 2025 and 2024 was $0.7 million and $(0.9) million, respectively. The increase in other income, net was primarily due to interest income earned on money market fund accounts that the Company began investing in during the first quarter of 2025 and a decrease in other expenses that were incurred during 2024 related to the preliminary stages of the Company’s capital structure management efforts.</w:t>
      </w:r>
    </w:p>
    <w:p>
      <w:pPr>
        <w:pStyle w:val="TextBody"/>
        <w:bidi w:val="0"/>
        <w:spacing w:lineRule="auto" w:line="276" w:before="180" w:after="180"/>
        <w:ind w:left="0" w:right="0" w:firstLine="450"/>
        <w:jc w:val="left"/>
        <w:rPr/>
      </w:pP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 xml:space="preserve">Income tax provision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 was a provision of $0.0 million and $0.7 million, respectively.</w:t>
      </w:r>
    </w:p>
    <w:p>
      <w:pPr>
        <w:pStyle w:val="TextBody"/>
        <w:bidi w:val="0"/>
        <w:spacing w:lineRule="auto" w:line="276" w:before="180" w:after="180"/>
        <w:ind w:left="0" w:right="0" w:firstLine="450"/>
        <w:jc w:val="left"/>
        <w:rPr/>
      </w:pPr>
      <w:r>
        <w:rPr>
          <w:rFonts w:ascii="Times New Roman;serif" w:hAnsi="Times New Roman;serif"/>
          <w:b/>
          <w:i/>
          <w:color w:val="000000"/>
          <w:sz w:val="20"/>
        </w:rPr>
        <w:t xml:space="preserve">Income (loss) from discontinued operations, net of tax </w:t>
      </w:r>
      <w:r>
        <w:rPr>
          <w:rFonts w:ascii="Times New Roman;serif" w:hAnsi="Times New Roman;serif"/>
          <w:b w:val="false"/>
          <w:color w:val="000000"/>
          <w:sz w:val="20"/>
        </w:rPr>
        <w:t xml:space="preserve">Income (Loss) from discontinued operations, net of tax for the years ended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and 2024 was $(0.4) million and $18.9 million, respectively. The change in income (loss) from discontinued operations is due to the sale of the Telematics Business in November 2024.</w:t>
      </w:r>
    </w:p>
    <w:p>
      <w:pPr>
        <w:pStyle w:val="TextBody"/>
        <w:bidi w:val="0"/>
        <w:spacing w:lineRule="auto" w:line="276" w:before="180" w:after="180"/>
        <w:ind w:left="0" w:right="0" w:firstLine="450"/>
        <w:jc w:val="left"/>
        <w:rPr/>
      </w:pPr>
      <w:r>
        <w:rPr>
          <w:rFonts w:ascii="Times New Roman;serif" w:hAnsi="Times New Roman;serif"/>
          <w:b/>
          <w:i/>
          <w:color w:val="000000"/>
          <w:sz w:val="20"/>
        </w:rPr>
        <w:t>Preferred stock dividends.</w:t>
      </w:r>
      <w:r>
        <w:rPr>
          <w:color w:val="000000"/>
        </w:rPr>
        <w:t> </w:t>
      </w:r>
      <w:r>
        <w:rPr>
          <w:rFonts w:ascii="Times New Roman;serif" w:hAnsi="Times New Roman;serif"/>
          <w:b w:val="false"/>
          <w:color w:val="000000"/>
          <w:sz w:val="20"/>
        </w:rPr>
        <w:t>During the years ended December 31, 2025 and 2024, we recorded dividends of $3.6 million and $3.3 million, respectively, on our Preferred Stock. As mentioned in Part I Item 1 above, in January 2026, all of the outstanding shares of Preferred Stock were exchanged by the Holder for a combination of cash, common stock, and an additional principal amount of the Company’s existing 2029 Senior Secured Notes.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available cash and cash equivalents totaling $24.9 million and maintained positive working capital of $15.6 million. The Company had cash inflows from operative activities of $7.2 million for the year ended December 31, 2025.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December 31, 2025.</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 </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borrowings and availability to borrow under the Working Capital Facility was $14.5 million.</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3.25% convertible notes due in 2025 (the “2025 Convertible Notes”) had a principal balance of $14.9 million as of December 31, 2024 and matured on May 1, 2025, at which time all outstanding principal and related accrued interest was paid-off in full. The Company’s 9.0% senior secured notes due in 2029 (the “2029 Senior Secured Notes”) had a principal balance of $40.9 million as of December 31, 2025 and mature on May 1, 2029. As noted above, January 14,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Company issued an additional $8.0 million in principal amount of the 2029 Senior Secured Notes in connection with the repurchase of the Preferred Stock.</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Company’s liquidity and financial results had several positive developments in 2024 and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material contractual obligations consisted of the following: </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December 31, 2025, our future payments under these noncancellable purchase obligations were approximately $101.2 million.</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$40.9 million in outstanding borrowings under the 2029 Senior Secured Notes; see Part IV Item 15 </w:t>
      </w:r>
      <w:r>
        <w:rPr>
          <w:rFonts w:ascii="Times New Roman;serif" w:hAnsi="Times New Roman;serif"/>
          <w:b w:val="false"/>
          <w:i/>
          <w:color w:val="000000"/>
          <w:sz w:val="20"/>
        </w:rPr>
        <w:t>Note 6 – Debt</w:t>
      </w:r>
      <w:r>
        <w:rPr>
          <w:rFonts w:ascii="Times New Roman;serif" w:hAnsi="Times New Roman;serif"/>
          <w:b w:val="false"/>
          <w:color w:val="000000"/>
          <w:sz w:val="20"/>
        </w:rPr>
        <w:t>; and</w:t>
      </w:r>
    </w:p>
    <w:p>
      <w:pPr>
        <w:pStyle w:val="TextBody"/>
        <w:bidi w:val="0"/>
        <w:spacing w:lineRule="auto" w:line="276" w:before="180" w:after="180"/>
        <w:ind w:left="0" w:right="0" w:hanging="360"/>
        <w:jc w:val="left"/>
        <w:rPr/>
      </w:pPr>
      <w:r>
        <w:rPr>
          <w:color w:val="000000"/>
        </w:rPr>
        <w:t>•</w:t>
      </w:r>
      <w:r>
        <w:rPr>
          <w:rFonts w:ascii="Times New Roman;serif" w:hAnsi="Times New Roman;serif"/>
          <w:b w:val="false"/>
          <w:color w:val="000000"/>
          <w:sz w:val="20"/>
        </w:rPr>
        <w:t xml:space="preserve">Operating lease liabilities that are included on our consolidated balance sheet; see Part IV Item 15 </w:t>
      </w:r>
      <w:r>
        <w:rPr>
          <w:rFonts w:ascii="Times New Roman;serif" w:hAnsi="Times New Roman;serif"/>
          <w:b w:val="false"/>
          <w:i/>
          <w:color w:val="000000"/>
          <w:sz w:val="20"/>
        </w:rPr>
        <w:t>Note 12 – Leases.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Historical Cash Flows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statements of cash flows for the periods indicated (in thousands):</w:t>
      </w:r>
    </w:p>
    <w:tbl>
      <w:tblPr>
        <w:tblW w:w="7163" w:type="dxa"/>
        <w:jc w:val="left"/>
        <w:tblInd w:w="0" w:type="dxa"/>
        <w:tblLayout w:type="fixed"/>
        <w:tblCellMar>
          <w:top w:w="28" w:type="dxa"/>
          <w:left w:w="28" w:type="dxa"/>
          <w:bottom w:w="28" w:type="dxa"/>
          <w:right w:w="28" w:type="dxa"/>
        </w:tblCellMar>
      </w:tblPr>
      <w:tblGrid>
        <w:gridCol w:w="1768"/>
        <w:gridCol w:w="1555"/>
        <w:gridCol w:w="1566"/>
        <w:gridCol w:w="196"/>
        <w:gridCol w:w="646"/>
        <w:gridCol w:w="109"/>
        <w:gridCol w:w="109"/>
        <w:gridCol w:w="109"/>
        <w:gridCol w:w="109"/>
        <w:gridCol w:w="196"/>
        <w:gridCol w:w="646"/>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continuing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year ended December 31, 2025 is comprised of cash flows from continuing operations of $8.1 million and cash outflows from discontinued operations of $0.9 million. The cash inflows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continuing operations were primarily related to net income from continuing operations of $1.2 million and non-cash charges, including depreciation and amortization of $8.4 million and share-based compensation expense of $7.4 million, partially offset by net cash used for working capital of $7.4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year ended December 31, 2024 is comprised of cash flows from continuing operations of $26.7 million and cash flows from discontinued operations of $6.9 million. The cash inflows from continuing operations were primarily related to net cash provided by working capital of $15.5 million and a net loss from continuing operations of $14.4 million that was fully offset by non-cash charges, including depreciation and amortization of $12.5 million, amortization of debt discount and issuance costs of $4.4 million, share-based compensation expense of $3.8 million, loss on debt restructurings of $2.9 million, non-cash operating lease expense of $1.0 million, capitalized software impairments of $0.9 million, and a loss on extinguishment of our revolving credit facility of $0.8 million.</w:t>
      </w:r>
    </w:p>
    <w:p>
      <w:pPr>
        <w:pStyle w:val="TextBody"/>
        <w:bidi w:val="0"/>
        <w:spacing w:lineRule="auto" w:line="276" w:before="18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year ended December 31, 2025 is primarily comprised of $8.6 million of cash outflows related to the development of software in support of our products and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during the year ended December 31, 2024 was primarily comprised of cash flows from discontinued operations of $48.1 million related to the divestiture of the Telematics Business, partially offset by $5.0 million of cash outflows related to the development of software in support of our products and services and $0.1 million of property, plant and equipment purchases.</w:t>
      </w:r>
    </w:p>
    <w:p>
      <w:pPr>
        <w:pStyle w:val="TextBody"/>
        <w:bidi w:val="0"/>
        <w:spacing w:lineRule="auto" w:line="276" w:before="180" w:after="180"/>
        <w:ind w:left="0" w:right="0" w:firstLine="450"/>
        <w:jc w:val="left"/>
        <w:rPr/>
      </w:pPr>
      <w:r>
        <w:rPr>
          <w:rFonts w:ascii="Times New Roman;serif" w:hAnsi="Times New Roman;serif"/>
          <w:b/>
          <w:i/>
          <w:color w:val="000000"/>
          <w:sz w:val="20"/>
        </w:rPr>
        <w:t>Financing activities.</w:t>
      </w:r>
      <w:r>
        <w:rPr>
          <w:color w:val="000000"/>
        </w:rPr>
        <w:t xml:space="preserv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year ended December 31, 2025 is primarily comprised of the repayment of the remaining $14.9 million 2025 Convertible Notes principal balance, partially offset by $1.0 million of cash received from exercises of common stock warrants.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year ended December 31, 2024 is primarily comprised of cash outflows of $33.8 million from the repurchases of a portion of our convertible notes, $19.5 million from the full repayment of the Company’s Short-Term Loan and $4.9 million from the voluntary early termination and repayment of our revolving credit facility, partially offset by cash inflows of $19.4 million from the issuance of the Short-Term Loan, net of debt issuance costs.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upon our consolidated financial statements which are prepared in accordance with accounting principles that are generally accepted in the United States. The preparation of these consolidated financial statements requires us to make estimates and judgments that affect the reported amounts of assets and liabilities, related disclosure of contingent assets and liabilities at the date of the consolidated financial statements, and the reported amounts of revenues and expenses during the reporting period. We continually evaluate our estimates and judgments, the most critical of which are those related to capitalization and subsequent valuation of externally marketed software development costs and inventory valuation. We base our estimates and judgments on historical experience and other factors that we believe to be reasonable under the circumstances. Materially different results can occur as circumstances change and additional information becomes known.</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We believe that the following accounting estimates we have identified as critical involve a greater degree of judgment and complexity than our other accounting estimates. Accordingly, these are the estimates we believe are the most critical to understanding and evaluating our consolidated financial condition and results of operations. Refer to </w:t>
      </w:r>
      <w:r>
        <w:rPr>
          <w:rFonts w:ascii="Times New Roman;serif" w:hAnsi="Times New Roman;serif"/>
          <w:b w:val="false"/>
          <w:i/>
          <w:color w:val="000000"/>
          <w:sz w:val="20"/>
        </w:rPr>
        <w:t>Note 1 – Nature of Business and Significant Accounting Policies</w:t>
      </w:r>
      <w:r>
        <w:rPr>
          <w:color w:val="000000"/>
        </w:rPr>
        <w:t xml:space="preserve"> </w:t>
      </w:r>
      <w:r>
        <w:rPr>
          <w:rFonts w:ascii="Times New Roman;serif" w:hAnsi="Times New Roman;serif"/>
          <w:b w:val="false"/>
          <w:color w:val="000000"/>
          <w:sz w:val="20"/>
        </w:rPr>
        <w:t>to our consolidated financial statements included elsewhere in this report for a summary of each of the related accounting policies.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Capitalization and Subsequent Valuation of Externally Marketed Software Development Costs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Estimates in the capitalization and subsequent valuation of externally marketed software development costs involve a significant level of estimation uncertainty include our estimates of what costs are capitalizable and when they’re capitalizable, the proper useful life to amortize capitalized costs over, and the proper valuation of such capitalizable costs at each balance sheet date. These estimates are sensitive to determinations of project progress, expectations of the period over which the software will be sold, as well as forecasts of future demand for the externally marketed software. Any changes to such estimates, for example changes in the expected period over which the software will be sold, impact our consolidated financial results in periods subsequent to determining those estimates.</w:t>
      </w:r>
    </w:p>
    <w:p>
      <w:pPr>
        <w:pStyle w:val="TextBody"/>
        <w:bidi w:val="0"/>
        <w:spacing w:lineRule="auto" w:line="256" w:before="180" w:after="180"/>
        <w:jc w:val="left"/>
        <w:rPr>
          <w:rFonts w:ascii="Times New Roman;serif" w:hAnsi="Times New Roman;serif"/>
          <w:b/>
          <w:i/>
          <w:color w:val="000000"/>
          <w:sz w:val="20"/>
        </w:rPr>
      </w:pPr>
      <w:r>
        <w:rPr>
          <w:rFonts w:ascii="Times New Roman;serif" w:hAnsi="Times New Roman;serif"/>
          <w:b/>
          <w:i/>
          <w:color w:val="000000"/>
          <w:sz w:val="20"/>
        </w:rPr>
        <w:t>Inventory Valuation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Estimates in the valuation of inventory that involve a significant level of estimation uncertainty include our estimates of excess and obsolete inventory based on forecasts of future demand for our products in inventory. Any changes to such estimates, for example differences in actual sales versus our estimates of demand, or conversely, the ultimate sell-through of fully reserved inventory for which we did not anticipate any future demand, impact our consolidated financial results in periods subsequent to recording those estimates. Other than our forecasts of future demand, there are no assumptions inherent in our estimates in the valuation of inventory that would result in sensitivity of reported amounts to such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7A.    </w:t>
      </w:r>
      <w:r>
        <w:rPr>
          <w:rFonts w:ascii="Times New Roman;serif" w:hAnsi="Times New Roman;serif"/>
          <w:b/>
          <w:i/>
          <w:color w:val="000000"/>
          <w:sz w:val="20"/>
        </w:rPr>
        <w:t>Quantitative and Qualitative Disclosures About Market Risk</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only fixed-rate borrowings, made under the 2029 Senior Secured Notes, had an outstanding principal balance of $40.9 million as of December 31, 2025. We record all fixed-rate borrowings at amortized cost and therefore, any changes in interest rates do not impact the values that we report for these senior notes on our consolidated financial statements. As of December 31, 2025 and December 31, 2024, we had no variable-rate borrowings.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We are exposed to interest rate risk associated with fluctuations in interest rates on our Working Capital Facility. As of December 31, 2025, assuming our Working Capital Facility was fully drawn up to the $15.0 million borrowing base, a 1% change in interest rates would result in a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change in annualized interest expense.</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Inflation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Currency Risk</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sales denominated in foreign currencies were approximately 0.9% of total revenue. Our results of operations and cash flows are, therefore, subject to fluctuations due to changes in foreign currency exchange rates and may be adversely affected in the future due to changes in foreign exchange rates. For the twelve months ended December 31, 2025, a hypothetical 10% change in these foreign currencies would have increased or decreased our revenue by approximately $0.1 million. Actual gains and losses in the future may differ materially from the hypothetical gains and losses discussed above based on changes in the timing and amount of foreign currency exchange rate movements.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8.    </w:t>
      </w:r>
      <w:r>
        <w:rPr>
          <w:rFonts w:ascii="Times New Roman;serif" w:hAnsi="Times New Roman;serif"/>
          <w:b/>
          <w:i/>
          <w:color w:val="000000"/>
          <w:sz w:val="20"/>
        </w:rPr>
        <w:t>Financial Statements and Supplementary Data</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the Reports of Independent Registered Public Accounting Firms appear in Part IV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pPr>
      <w:r>
        <w:rPr>
          <w:rFonts w:ascii="Times New Roman;serif" w:hAnsi="Times New Roman;serif"/>
          <w:b/>
          <w:color w:val="000000"/>
          <w:sz w:val="20"/>
        </w:rPr>
        <w:t>Item 9A.    </w:t>
      </w:r>
      <w:r>
        <w:rPr>
          <w:rFonts w:ascii="Times New Roman;serif" w:hAnsi="Times New Roman;serif"/>
          <w:b/>
          <w:i/>
          <w:color w:val="000000"/>
          <w:sz w:val="20"/>
        </w:rPr>
        <w:t>Controls and Procedures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SEC rules, we carried out an evaluation, under the supervision and with the participation of our management, including our principal executive officer and our principal financial officer, of the effectiveness of the design and operation of our disclosure controls and procedures as of December 31, 2025, the end of the period covered by this report. Based on the foregoing, our principal executive officer and principal financial officer concluded that our disclosure controls and procedures were effective as of December 31, 2025.</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Internal Control—Integrated Framework. Based on our evaluation under the framework in Internal Control—Integrated Framework, our management concluded that our internal control over financial reporting was effective as of December 31, 2025.</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CBIZ CPAs P.C., the independent registered public accounting firm that audited the consolidated financial statements included in this Annual Report on Form 10-K, has also audited our internal control over financial reporting as of December 31, 2025. Their report on the effectiveness of the Company’s internal control over financial reporting is included below.</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 evaluation was also performed under the supervision and with the participation of our management, including our principal executive officer and our principal financial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80"/>
        <w:jc w:val="left"/>
        <w:rPr/>
      </w:pPr>
      <w:r>
        <w:rPr/>
      </w:r>
    </w:p>
    <w:p>
      <w:pPr>
        <w:pStyle w:val="TextBody"/>
        <w:bidi w:val="0"/>
        <w:spacing w:lineRule="auto" w:line="276" w:before="180" w:after="18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 ON INTERNAL CONTROL OVER FINANCIAL REPORTING</w:t>
      </w:r>
    </w:p>
    <w:p>
      <w:pPr>
        <w:pStyle w:val="TextBody"/>
        <w:bidi w:val="0"/>
        <w:spacing w:before="180" w:after="180"/>
        <w:jc w:val="center"/>
        <w:rPr/>
      </w:pPr>
      <w:r>
        <w:rPr/>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of Inseego Corp. </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Inseego Corp.'s (the “Company”) internal control over financial reporting as of December 31, 2025,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December 31, 2025, based on criteria established in COSO.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also audited, in accordance with the standards of the Public Company Accounting Oversight Board (United States) (“PCAOB”), the consolidated balance sheet as of December 31, 2025 and the related consolidated statements of operations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stockholders’ deficit, and cash flows and the related notes (collectively referred to as the “financial statements”) for the year ended December 31, 2025 of the Company, and our report dated February 19, 2026 expressed an unqualified opinion on those financial statements.</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76" w:before="180" w:after="18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 </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/s/ CBIZ CPAs P.C.</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CBIZ CPAs P.C.</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Philadelphia, Pennsylvania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9B.    </w:t>
      </w:r>
      <w:r>
        <w:rPr>
          <w:rFonts w:ascii="Times New Roman;serif" w:hAnsi="Times New Roman;serif"/>
          <w:b/>
          <w:i/>
          <w:color w:val="000000"/>
          <w:sz w:val="20"/>
        </w:rPr>
        <w:t>Other Information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pPr>
      <w:r>
        <w:rPr>
          <w:rFonts w:ascii="Times New Roman;serif" w:hAnsi="Times New Roman;serif"/>
          <w:b/>
          <w:color w:val="000000"/>
          <w:sz w:val="20"/>
        </w:rPr>
        <w:t>Item 9C.</w:t>
      </w:r>
      <w:r>
        <w:rPr>
          <w:color w:val="000000"/>
        </w:rPr>
        <w:t xml:space="preserve"> </w:t>
      </w:r>
      <w:r>
        <w:rPr>
          <w:rFonts w:ascii="Times New Roman;serif" w:hAnsi="Times New Roman;serif"/>
          <w:b/>
          <w:i/>
          <w:color w:val="000000"/>
          <w:sz w:val="20"/>
        </w:rPr>
        <w:t>Disclosure Regarding Foreign Jurisdictions that Prevent Inspections.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Items 10, 11, 12, 13 and 14.</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Items 10, 11, 12, 13 and 14 is incorporated by reference from the Company’s definitive proxy statement for the 2026 Annual Meeting of Stockholders or an amendment to this report, which the Company intends to file with the SEC within 120 days of the end of the fiscal year end to which this report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Item 15.    </w:t>
      </w:r>
      <w:r>
        <w:rPr>
          <w:rFonts w:ascii="Times New Roman;serif" w:hAnsi="Times New Roman;serif"/>
          <w:b/>
          <w:i/>
          <w:color w:val="000000"/>
          <w:sz w:val="20"/>
        </w:rPr>
        <w:t>Exhibit and Financial Statement Schedules</w:t>
      </w:r>
    </w:p>
    <w:p>
      <w:pPr>
        <w:pStyle w:val="TextBody"/>
        <w:bidi w:val="0"/>
        <w:spacing w:lineRule="auto" w:line="276" w:before="180" w:after="18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(a)(1)    The Company’s consolidated financial statements and report of the CBIZ CPAs P.C., Independent Registered Public Accounting Firm, are included in Section IV of this report beginning on page F-1.</w:t>
      </w:r>
    </w:p>
    <w:p>
      <w:pPr>
        <w:pStyle w:val="TextBody"/>
        <w:bidi w:val="0"/>
        <w:spacing w:lineRule="auto" w:line="276" w:before="180" w:after="18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(a)(2)    Schedules have been omitted because they are not applicable or are not required or the information required to be set forth therein is included in the consolidated financial statements or related notes thereto.</w:t>
      </w:r>
    </w:p>
    <w:p>
      <w:pPr>
        <w:pStyle w:val="TextBody"/>
        <w:bidi w:val="0"/>
        <w:spacing w:lineRule="auto" w:line="276" w:before="180" w:after="18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(a)(3)    Exhibits</w:t>
      </w:r>
    </w:p>
    <w:p>
      <w:pPr>
        <w:pStyle w:val="TextBody"/>
        <w:bidi w:val="0"/>
        <w:spacing w:lineRule="auto" w:line="276"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report:</w:t>
      </w:r>
    </w:p>
    <w:tbl>
      <w:tblPr>
        <w:tblW w:w="10205" w:type="dxa"/>
        <w:jc w:val="center"/>
        <w:tblInd w:w="0" w:type="dxa"/>
        <w:tblLayout w:type="fixed"/>
        <w:tblCellMar>
          <w:top w:w="28" w:type="dxa"/>
          <w:left w:w="28" w:type="dxa"/>
          <w:bottom w:w="28" w:type="dxa"/>
          <w:right w:w="28" w:type="dxa"/>
        </w:tblCellMar>
      </w:tblPr>
      <w:tblGrid>
        <w:gridCol w:w="292"/>
        <w:gridCol w:w="257"/>
        <w:gridCol w:w="258"/>
        <w:gridCol w:w="109"/>
        <w:gridCol w:w="109"/>
        <w:gridCol w:w="109"/>
        <w:gridCol w:w="2370"/>
        <w:gridCol w:w="2277"/>
        <w:gridCol w:w="2298"/>
        <w:gridCol w:w="260"/>
        <w:gridCol w:w="186"/>
        <w:gridCol w:w="175"/>
        <w:gridCol w:w="260"/>
        <w:gridCol w:w="260"/>
        <w:gridCol w:w="195"/>
        <w:gridCol w:w="283"/>
        <w:gridCol w:w="213"/>
        <w:gridCol w:w="29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to:</w:t>
            </w:r>
          </w:p>
        </w:tc>
      </w:tr>
      <w:tr>
        <w:trPr/>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
              <w:r>
                <w:rPr>
                  <w:rStyle w:val="InternetLink"/>
                  <w:rFonts w:ascii="Times New Roman;serif" w:hAnsi="Times New Roman;serif"/>
                  <w:b w:val="false"/>
                  <w:color w:val="0000FF"/>
                  <w:sz w:val="20"/>
                  <w:u w:val="single"/>
                </w:rPr>
                <w:t>Amended and Restated Certificate of Incorporation.</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11/9/2016</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3">
              <w:r>
                <w:rPr>
                  <w:rStyle w:val="InternetLink"/>
                  <w:rFonts w:ascii="Times New Roman;serif" w:hAnsi="Times New Roman;serif"/>
                  <w:b w:val="false"/>
                  <w:color w:val="0000FF"/>
                  <w:sz w:val="20"/>
                  <w:u w:val="single"/>
                </w:rPr>
                <w:t>Amended and Restated Bylaws.</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5/9/2026</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Designation of Series E Fixed-Rate Cumulative Perpetual Preferred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8/13/2019</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Certificate of Designation of Series E Fixed-Rate Cumulative Perpetual Preferred Stock.</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3/10/2020</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of Certificate of Incorporation of Inseego Corp., dated January 23, 2024.</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1/23/2024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Inseego Corp. Common Stock Certificate.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11/9/2016</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Equity Securities Registered under Section 12 of the Exchange Act..</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3/1/2021</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Base Indenture, dated May 12, 2020, between Inseego Corp. and Wilmington Trust, National Association, as trustee.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5/12/2020</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First Supplemental Indenture, dated May 12, 2020, between Inseego Corp. and Wilmington Trust, National Association, as trustee.</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5/12/2020</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3.25% convertible senior note due 2025.</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8/10/2020</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20"/>
                  <w:u w:val="single"/>
                </w:rPr>
                <w:t>Registration Rights Agreement, dated August 6, 2018, by and among Inseego Corp. and the Investors identified on Exhibit A to the Securities Purchase Agreement.</w:t>
              </w:r>
            </w:hyperlink>
          </w:p>
        </w:tc>
        <w:tc>
          <w:tcPr>
            <w:tcW w:w="6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8/7/2018</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3">
              <w:r>
                <w:rPr>
                  <w:rStyle w:val="InternetLink"/>
                  <w:rFonts w:ascii="Times New Roman;serif" w:hAnsi="Times New Roman;serif"/>
                  <w:b w:val="false"/>
                  <w:color w:val="0000FF"/>
                  <w:sz w:val="20"/>
                  <w:u w:val="single"/>
                </w:rPr>
                <w:t>Indenture, dated as of November 6, 2024, by and among Inseego Corp. and Wilmington Savings Fund Society, FSB, as trustee.</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11/12/2014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4">
              <w:r>
                <w:rPr>
                  <w:rStyle w:val="InternetLink"/>
                  <w:rFonts w:ascii="Times New Roman;serif" w:hAnsi="Times New Roman;serif"/>
                  <w:b w:val="false"/>
                  <w:color w:val="0000FF"/>
                  <w:sz w:val="20"/>
                  <w:u w:val="single"/>
                </w:rPr>
                <w:t>Supplemental Indenture, dated as of November 6, 2024, by and among Inseego Corp., as issuer, the guarantors from time to time party thereto and Wilmington Savings Fund Society, FSB, as trustee.</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11/12/2014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5">
              <w:r>
                <w:rPr>
                  <w:rStyle w:val="InternetLink"/>
                  <w:rFonts w:ascii="Times New Roman;serif" w:hAnsi="Times New Roman;serif"/>
                  <w:b w:val="false"/>
                  <w:color w:val="0000FF"/>
                  <w:sz w:val="20"/>
                  <w:u w:val="single"/>
                </w:rPr>
                <w:t>Form of 9.0% Senior Secured Notes due 2029</w:t>
              </w:r>
            </w:hyperlink>
            <w:r>
              <w:rPr>
                <w:color w:val="000000"/>
              </w:rPr>
              <w:t xml:space="preserve"> </w:t>
            </w:r>
            <w:r>
              <w:rPr>
                <w:rFonts w:ascii="Times New Roman;serif" w:hAnsi="Times New Roman;serif"/>
                <w:b w:val="false"/>
                <w:color w:val="000000"/>
                <w:sz w:val="20"/>
              </w:rPr>
              <w:t>(included as Exhibit A to Exhibit 4.8).</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6">
              <w:r>
                <w:rPr>
                  <w:rStyle w:val="InternetLink"/>
                  <w:rFonts w:ascii="Times New Roman;serif" w:hAnsi="Times New Roman;serif"/>
                  <w:b w:val="false"/>
                  <w:color w:val="0000FF"/>
                  <w:sz w:val="20"/>
                  <w:u w:val="single"/>
                </w:rPr>
                <w:t>Inseego Corp. 2018 Omnibus Incentive Compensation Plan, as amended on July 30, 2024.</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11/13/2024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7">
              <w:r>
                <w:rPr>
                  <w:rStyle w:val="InternetLink"/>
                  <w:rFonts w:ascii="Times New Roman;serif" w:hAnsi="Times New Roman;serif"/>
                  <w:b w:val="false"/>
                  <w:color w:val="0000FF"/>
                  <w:sz w:val="20"/>
                  <w:u w:val="single"/>
                </w:rPr>
                <w:t>Amended and Restated Inseego Corp. 2000 Employee Stock Purchase Plan, as amended on July 30, 2024 .</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11/13/2024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18">
              <w:r>
                <w:rPr>
                  <w:rStyle w:val="InternetLink"/>
                  <w:rFonts w:ascii="Times New Roman;serif" w:hAnsi="Times New Roman;serif"/>
                  <w:b w:val="false"/>
                  <w:color w:val="0000FF"/>
                  <w:sz w:val="20"/>
                  <w:u w:val="single"/>
                </w:rPr>
                <w:t>Form of Indemnification Agreement.</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8/21/2017</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Inseego Corp. Executive Officer Clawback Policy.</w:t>
              </w:r>
            </w:hyperlink>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10/30/2023</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0">
              <w:r>
                <w:rPr>
                  <w:rStyle w:val="InternetLink"/>
                  <w:rFonts w:ascii="Times New Roman;serif" w:hAnsi="Times New Roman;serif"/>
                  <w:b w:val="false"/>
                  <w:color w:val="0000FF"/>
                  <w:sz w:val="20"/>
                  <w:u w:val="single"/>
                </w:rPr>
                <w:t xml:space="preserve">Offer Letter dated September 12, 2023 between Inseego Corp. and Steven Gatoff. </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11/3/2023</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1">
              <w:r>
                <w:rPr>
                  <w:rStyle w:val="InternetLink"/>
                  <w:rFonts w:ascii="Times New Roman;serif" w:hAnsi="Times New Roman;serif"/>
                  <w:b w:val="false"/>
                  <w:color w:val="0000FF"/>
                  <w:sz w:val="20"/>
                  <w:u w:val="single"/>
                </w:rPr>
                <w:t>Form of Common Stock Purchase Warrant.</w:t>
              </w:r>
            </w:hyperlink>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7/1/2024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2">
              <w:r>
                <w:rPr>
                  <w:rStyle w:val="InternetLink"/>
                  <w:rFonts w:ascii="Times New Roman;serif" w:hAnsi="Times New Roman;serif"/>
                  <w:b w:val="false"/>
                  <w:color w:val="0000FF"/>
                  <w:sz w:val="20"/>
                  <w:u w:val="single"/>
                </w:rPr>
                <w:t>Share Purchase Agreement dated September 16, 2024.</w:t>
              </w:r>
            </w:hyperlink>
            <w:r>
              <w:rPr>
                <w:color w:val="000000"/>
              </w:rPr>
              <w:t xml:space="preserve"> </w:t>
            </w:r>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9/16/2024</w:t>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3">
              <w:r>
                <w:rPr>
                  <w:rStyle w:val="InternetLink"/>
                  <w:rFonts w:ascii="Times New Roman;serif" w:hAnsi="Times New Roman;serif"/>
                  <w:b w:val="false"/>
                  <w:color w:val="0000FF"/>
                  <w:sz w:val="20"/>
                  <w:u w:val="single"/>
                </w:rPr>
                <w:t>License Agreement dated September 16, 2024.</w:t>
              </w:r>
            </w:hyperlink>
            <w:r>
              <w:rPr>
                <w:color w:val="000000"/>
              </w:rPr>
              <w:t xml:space="preserve"> </w:t>
            </w:r>
          </w:p>
        </w:tc>
        <w:tc>
          <w:tcPr>
            <w:tcW w:w="62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1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79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9/16/2024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7"/>
        <w:gridCol w:w="227"/>
        <w:gridCol w:w="230"/>
        <w:gridCol w:w="109"/>
        <w:gridCol w:w="109"/>
        <w:gridCol w:w="109"/>
        <w:gridCol w:w="2495"/>
        <w:gridCol w:w="2339"/>
        <w:gridCol w:w="2346"/>
        <w:gridCol w:w="185"/>
        <w:gridCol w:w="185"/>
        <w:gridCol w:w="185"/>
        <w:gridCol w:w="237"/>
        <w:gridCol w:w="185"/>
        <w:gridCol w:w="185"/>
        <w:gridCol w:w="288"/>
        <w:gridCol w:w="218"/>
        <w:gridCol w:w="316"/>
      </w:tblGrid>
      <w:tr>
        <w:trPr/>
        <w:tc>
          <w:tcPr>
            <w:tcW w:w="2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 to:</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4">
              <w:r>
                <w:rPr>
                  <w:rStyle w:val="InternetLink"/>
                  <w:rFonts w:ascii="Times New Roman;serif" w:hAnsi="Times New Roman;serif"/>
                  <w:b w:val="false"/>
                  <w:color w:val="0000FF"/>
                  <w:sz w:val="20"/>
                  <w:u w:val="single"/>
                </w:rPr>
                <w:t xml:space="preserve">Transitional Services Agreement dated September 16, 2024. </w:t>
              </w:r>
            </w:hyperlink>
          </w:p>
        </w:tc>
        <w:tc>
          <w:tcPr>
            <w:tcW w:w="55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82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9/16/2024</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r:id="rId25">
              <w:r>
                <w:rPr>
                  <w:rStyle w:val="InternetLink"/>
                  <w:rFonts w:ascii="Times New Roman;serif" w:hAnsi="Times New Roman;serif"/>
                  <w:b w:val="false"/>
                  <w:color w:val="0000FF"/>
                  <w:sz w:val="20"/>
                  <w:u w:val="single"/>
                </w:rPr>
                <w:t>Form of Exchange Agreement dated November 6, 2024</w:t>
              </w:r>
            </w:hyperlink>
            <w:r>
              <w:rPr>
                <w:color w:val="000000"/>
              </w:rPr>
              <w:t xml:space="preserve"> </w:t>
            </w:r>
          </w:p>
        </w:tc>
        <w:tc>
          <w:tcPr>
            <w:tcW w:w="55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22"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Security and Pledge Agreement dated November 6, 2024</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Common Stock Purchase Warrant</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Registration Rights Agreement dated November 6, 2024</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Offer Letter dated December 6, 2024, between Inseego Corp. and Juho Sarvikas</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1/6/2025</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Credit and Security Agreement, dated August 5, 2025</w:t>
              </w:r>
            </w:hyperlink>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8/7/2025</w:t>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g20251231ex19.htm">
              <w:r>
                <w:rPr>
                  <w:rStyle w:val="InternetLink"/>
                  <w:rFonts w:ascii="Times New Roman;serif" w:hAnsi="Times New Roman;serif"/>
                  <w:b w:val="false"/>
                  <w:color w:val="0000FF"/>
                  <w:sz w:val="20"/>
                  <w:u w:val="single"/>
                </w:rPr>
                <w:t>Insider Trading Policy</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g20251231ex21.htm">
              <w:r>
                <w:rPr>
                  <w:rStyle w:val="InternetLink"/>
                  <w:rFonts w:ascii="Times New Roman;serif" w:hAnsi="Times New Roman;serif"/>
                  <w:b w:val="false"/>
                  <w:color w:val="0000FF"/>
                  <w:sz w:val="20"/>
                  <w:u w:val="single"/>
                </w:rPr>
                <w:t>Subsidiaries of Inseego Corp.</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231.htm">
              <w:r>
                <w:rPr>
                  <w:rStyle w:val="InternetLink"/>
                  <w:rFonts w:ascii="Times New Roman;serif" w:hAnsi="Times New Roman;serif"/>
                  <w:b w:val="false"/>
                  <w:color w:val="0000FF"/>
                  <w:sz w:val="20"/>
                  <w:u w:val="single"/>
                </w:rPr>
                <w:t>Consent of Independent Registered Public Accounting Firm (CBIZ CPAs P.C.).</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232.htm">
              <w:r>
                <w:rPr>
                  <w:rStyle w:val="InternetLink"/>
                  <w:rFonts w:ascii="Times New Roman;serif" w:hAnsi="Times New Roman;serif"/>
                  <w:b w:val="false"/>
                  <w:color w:val="0000FF"/>
                  <w:sz w:val="20"/>
                  <w:u w:val="single"/>
                </w:rPr>
                <w:t>Consent of Independent Registered Public Accounting Firm (Marcum LLP).</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311.htm">
              <w:r>
                <w:rPr>
                  <w:rStyle w:val="InternetLink"/>
                  <w:rFonts w:ascii="Times New Roman;serif" w:hAnsi="Times New Roman;serif"/>
                  <w:b w:val="false"/>
                  <w:color w:val="0000FF"/>
                  <w:sz w:val="20"/>
                  <w:u w:val="single"/>
                </w:rPr>
                <w:t>Certification of our Principal Executive Officer adopted pursuant to Section 302 of the Sarbanes-Oxley Act of 2002.</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312.htm">
              <w:r>
                <w:rPr>
                  <w:rStyle w:val="InternetLink"/>
                  <w:rFonts w:ascii="Times New Roman;serif" w:hAnsi="Times New Roman;serif"/>
                  <w:b w:val="false"/>
                  <w:color w:val="0000FF"/>
                  <w:sz w:val="20"/>
                  <w:u w:val="single"/>
                </w:rPr>
                <w:t>Certification of our Principal Financial Officer adopted pursuant to Section 302 of the Sarbanes-Oxley Act of 2002.</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nsg20251231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 compensatory plan or arrangement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72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See Item 15(a)(3) above.</w:t>
      </w:r>
      <w:r>
        <w:rPr>
          <w:color w:val="000000"/>
        </w:rPr>
        <w:t xml:space="preserve"> </w:t>
      </w:r>
    </w:p>
    <w:p>
      <w:pPr>
        <w:pStyle w:val="TextBody"/>
        <w:bidi w:val="0"/>
        <w:spacing w:lineRule="auto" w:line="276" w:before="180" w:after="180"/>
        <w:ind w:left="0" w:right="0" w:firstLine="72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5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65"/>
        <w:gridCol w:w="165"/>
        <w:gridCol w:w="165"/>
        <w:gridCol w:w="165"/>
        <w:gridCol w:w="165"/>
        <w:gridCol w:w="165"/>
        <w:gridCol w:w="658"/>
        <w:gridCol w:w="658"/>
        <w:gridCol w:w="9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INSEEGO CORP.</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w:t>
            </w:r>
            <w:r>
              <w:rPr>
                <w:color w:val="000000"/>
              </w:rPr>
              <w:t xml:space="preserve"> </w:t>
            </w:r>
            <w:r>
              <w:rPr>
                <w:rFonts w:ascii="Times New Roman;serif" w:hAnsi="Times New Roman;serif"/>
                <w:b w:val="false"/>
                <w:color w:val="000000"/>
                <w:sz w:val="20"/>
              </w:rPr>
              <w:t>Juho Sarvikas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Juho Sarvikas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8063" w:type="dxa"/>
        <w:jc w:val="left"/>
        <w:tblInd w:w="0" w:type="dxa"/>
        <w:tblLayout w:type="fixed"/>
        <w:tblCellMar>
          <w:top w:w="28" w:type="dxa"/>
          <w:left w:w="28" w:type="dxa"/>
          <w:bottom w:w="28" w:type="dxa"/>
          <w:right w:w="28" w:type="dxa"/>
        </w:tblCellMar>
      </w:tblPr>
      <w:tblGrid>
        <w:gridCol w:w="977"/>
        <w:gridCol w:w="861"/>
        <w:gridCol w:w="862"/>
        <w:gridCol w:w="109"/>
        <w:gridCol w:w="109"/>
        <w:gridCol w:w="109"/>
        <w:gridCol w:w="1020"/>
        <w:gridCol w:w="1020"/>
        <w:gridCol w:w="1034"/>
        <w:gridCol w:w="109"/>
        <w:gridCol w:w="109"/>
        <w:gridCol w:w="109"/>
        <w:gridCol w:w="477"/>
        <w:gridCol w:w="477"/>
        <w:gridCol w:w="681"/>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Juho Sarvikas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Juho Sarvikas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Gatoff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Steven Gatoff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 Paul McClaskey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 Paul McClaskey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B. Avery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B. Avery</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J. Bye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Stephen J. Bye</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Syed Nabeel Anwar Bukhari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Syed Nabeel Anwar Bukhari</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Harland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Christopher Harland</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Brian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Brian Miller</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George Mulhern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George Mulhern</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Tuder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19, 2026</w:t>
            </w:r>
          </w:p>
        </w:tc>
      </w:tr>
      <w:tr>
        <w:trPr/>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Jeffrey Tuder</w:t>
            </w:r>
          </w:p>
        </w:tc>
        <w:tc>
          <w:tcPr>
            <w:tcW w:w="34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794" w:type="dxa"/>
        <w:jc w:val="center"/>
        <w:tblInd w:w="0" w:type="dxa"/>
        <w:tblLayout w:type="fixed"/>
        <w:tblCellMar>
          <w:top w:w="28" w:type="dxa"/>
          <w:left w:w="28" w:type="dxa"/>
          <w:bottom w:w="28" w:type="dxa"/>
          <w:right w:w="28" w:type="dxa"/>
        </w:tblCellMar>
      </w:tblPr>
      <w:tblGrid>
        <w:gridCol w:w="2307"/>
        <w:gridCol w:w="2028"/>
        <w:gridCol w:w="2039"/>
        <w:gridCol w:w="123"/>
        <w:gridCol w:w="123"/>
        <w:gridCol w:w="174"/>
      </w:tblGrid>
      <w:tr>
        <w:trPr/>
        <w:tc>
          <w:tcPr>
            <w:tcW w:w="2307"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94">
              <w:r>
                <w:rPr>
                  <w:rStyle w:val="InternetLink"/>
                  <w:rFonts w:ascii="Times New Roman;serif" w:hAnsi="Times New Roman;serif"/>
                  <w:b w:val="false"/>
                  <w:color w:val="0000FF"/>
                  <w:sz w:val="20"/>
                  <w:u w:val="single"/>
                </w:rPr>
                <w:t>Report of Independent Registered Public Accounting Firm (PCAOB ID #</w:t>
              </w:r>
            </w:hyperlink>
            <w:r>
              <w:rPr>
                <w:rFonts w:ascii="Times New Roman;serif" w:hAnsi="Times New Roman;serif"/>
                <w:b w:val="false"/>
                <w:color w:val="000000"/>
                <w:sz w:val="20"/>
                <w:u w:val="single"/>
              </w:rPr>
              <w:t>199</w:t>
            </w:r>
            <w:hyperlink w:anchor="i62b7cec225c94f4480415ff04f125a8f_94">
              <w:r>
                <w:rPr>
                  <w:rStyle w:val="InternetLink"/>
                  <w:rFonts w:ascii="Times New Roman;serif" w:hAnsi="Times New Roman;serif"/>
                  <w:b w:val="false"/>
                  <w:color w:val="0000FF"/>
                  <w:sz w:val="20"/>
                  <w:u w:val="single"/>
                </w:rPr>
                <w:t>)</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94">
              <w:r>
                <w:rPr>
                  <w:rStyle w:val="InternetLink"/>
                  <w:rFonts w:ascii="Times New Roman;serif" w:hAnsi="Times New Roman;serif"/>
                  <w:b w:val="false"/>
                  <w:color w:val="000080"/>
                  <w:sz w:val="20"/>
                  <w:u w:val="single"/>
                </w:rPr>
                <w:t>2</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9895604651281">
              <w:r>
                <w:rPr>
                  <w:rStyle w:val="InternetLink"/>
                  <w:rFonts w:ascii="Times New Roman;serif" w:hAnsi="Times New Roman;serif"/>
                  <w:b w:val="false"/>
                  <w:color w:val="0000FF"/>
                  <w:sz w:val="20"/>
                  <w:u w:val="single"/>
                </w:rPr>
                <w:t>Report of Independent Registered Public Accounting Firm (PCAOB ID #</w:t>
              </w:r>
            </w:hyperlink>
            <w:r>
              <w:rPr>
                <w:rFonts w:ascii="Times New Roman;serif" w:hAnsi="Times New Roman;serif"/>
                <w:b w:val="false"/>
                <w:color w:val="000000"/>
                <w:sz w:val="20"/>
                <w:u w:val="single"/>
              </w:rPr>
              <w:t>688</w:t>
            </w:r>
            <w:hyperlink w:anchor="i62b7cec225c94f4480415ff04f125a8f_94">
              <w:r>
                <w:rPr>
                  <w:rStyle w:val="InternetLink"/>
                  <w:rFonts w:ascii="Times New Roman;serif" w:hAnsi="Times New Roman;serif"/>
                  <w:b w:val="false"/>
                  <w:color w:val="0000FF"/>
                  <w:sz w:val="20"/>
                  <w:u w:val="single"/>
                </w:rPr>
                <w:t>)</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9895604651281">
              <w:r>
                <w:rPr>
                  <w:rStyle w:val="InternetLink"/>
                  <w:rFonts w:ascii="Times New Roman;serif" w:hAnsi="Times New Roman;serif"/>
                  <w:b w:val="false"/>
                  <w:color w:val="000080"/>
                  <w:sz w:val="20"/>
                  <w:u w:val="single"/>
                </w:rPr>
                <w:t>3</w:t>
              </w:r>
            </w:hyperlink>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97">
              <w:r>
                <w:rPr>
                  <w:rStyle w:val="InternetLink"/>
                  <w:rFonts w:ascii="Times New Roman;serif" w:hAnsi="Times New Roman;serif"/>
                  <w:b w:val="false"/>
                  <w:color w:val="0000FF"/>
                  <w:sz w:val="20"/>
                  <w:u w:val="single"/>
                </w:rPr>
                <w:t>Consolidated Balance Sheets</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97">
              <w:r>
                <w:rPr>
                  <w:rStyle w:val="InternetLink"/>
                  <w:rFonts w:ascii="Times New Roman;serif" w:hAnsi="Times New Roman;serif"/>
                  <w:b w:val="false"/>
                  <w:color w:val="000080"/>
                  <w:sz w:val="20"/>
                  <w:u w:val="single"/>
                </w:rPr>
                <w:t>4</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03">
              <w:r>
                <w:rPr>
                  <w:rStyle w:val="InternetLink"/>
                  <w:rFonts w:ascii="Times New Roman;serif" w:hAnsi="Times New Roman;serif"/>
                  <w:b w:val="false"/>
                  <w:color w:val="0000FF"/>
                  <w:sz w:val="20"/>
                  <w:u w:val="single"/>
                </w:rPr>
                <w:t>Consolidated Statements of Operations and Comprehensive Income</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103">
              <w:r>
                <w:rPr>
                  <w:rStyle w:val="InternetLink"/>
                  <w:rFonts w:ascii="Times New Roman;serif" w:hAnsi="Times New Roman;serif"/>
                  <w:b w:val="false"/>
                  <w:color w:val="000080"/>
                  <w:sz w:val="20"/>
                  <w:u w:val="single"/>
                </w:rPr>
                <w:t>5</w:t>
              </w:r>
            </w:hyperlink>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09">
              <w:r>
                <w:rPr>
                  <w:rStyle w:val="InternetLink"/>
                  <w:rFonts w:ascii="Times New Roman;serif" w:hAnsi="Times New Roman;serif"/>
                  <w:b w:val="false"/>
                  <w:color w:val="0000FF"/>
                  <w:sz w:val="20"/>
                  <w:u w:val="single"/>
                </w:rPr>
                <w:t>Consolidated Statements of Stockholders’ Deficit</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109">
              <w:r>
                <w:rPr>
                  <w:rStyle w:val="InternetLink"/>
                  <w:rFonts w:ascii="Times New Roman;serif" w:hAnsi="Times New Roman;serif"/>
                  <w:b w:val="false"/>
                  <w:color w:val="000080"/>
                  <w:sz w:val="20"/>
                  <w:u w:val="single"/>
                </w:rPr>
                <w:t>6</w:t>
              </w:r>
            </w:hyperlink>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12">
              <w:r>
                <w:rPr>
                  <w:rStyle w:val="InternetLink"/>
                  <w:rFonts w:ascii="Times New Roman;serif" w:hAnsi="Times New Roman;serif"/>
                  <w:b w:val="false"/>
                  <w:color w:val="0000FF"/>
                  <w:sz w:val="20"/>
                  <w:u w:val="single"/>
                </w:rPr>
                <w:t>Consolidated Statements of Cash Flows</w:t>
              </w:r>
            </w:hyperlink>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112">
              <w:r>
                <w:rPr>
                  <w:rStyle w:val="InternetLink"/>
                  <w:rFonts w:ascii="Times New Roman;serif" w:hAnsi="Times New Roman;serif"/>
                  <w:b w:val="false"/>
                  <w:color w:val="000080"/>
                  <w:sz w:val="20"/>
                  <w:u w:val="single"/>
                </w:rPr>
                <w:t>7</w:t>
              </w:r>
            </w:hyperlink>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2b7cec225c94f4480415ff04f125a8f_115">
              <w:r>
                <w:rPr>
                  <w:rStyle w:val="InternetLink"/>
                  <w:rFonts w:ascii="Times New Roman;serif" w:hAnsi="Times New Roman;serif"/>
                  <w:b w:val="false"/>
                  <w:color w:val="0000FF"/>
                  <w:sz w:val="20"/>
                  <w:u w:val="single"/>
                </w:rPr>
                <w:t>Notes to Consolidated Financial Statements</w:t>
              </w:r>
            </w:hyperlink>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E32E1"/>
                <w:sz w:val="20"/>
                <w:u w:val="single"/>
              </w:rPr>
              <w:t>F-</w:t>
            </w:r>
            <w:hyperlink w:anchor="i62b7cec225c94f4480415ff04f125a8f_115">
              <w:r>
                <w:rPr>
                  <w:rStyle w:val="InternetLink"/>
                  <w:rFonts w:ascii="Times New Roman;serif" w:hAnsi="Times New Roman;serif"/>
                  <w:b w:val="false"/>
                  <w:color w:val="000080"/>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of Inseego Corp.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Inseego Corp. (the “Company”) as of December 31, 2025, the related consolidated statements of operations and comprehensive income, stockholders’ deficit and cash flows for the year ended December 31, 2025, and the related notes (collectively referred to as the “financial statements”).</w:t>
      </w:r>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the criteria established in Internal Control - Integrated Framework issued by the Committee of Sponsoring Organizations of the Treadway Commission (COSO) in 2013 and our report dated February 19, 2026, expressed an unqualified opinion on the effectiveness of the Company’s internal control over financial reporting. </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lineRule="auto" w:line="276" w:before="180" w:after="180"/>
        <w:jc w:val="left"/>
        <w:rPr/>
      </w:pPr>
      <w:r>
        <w:rPr>
          <w:rFonts w:ascii="Times New Roman;serif" w:hAnsi="Times New Roman;serif"/>
          <w:b/>
          <w:color w:val="000000"/>
          <w:sz w:val="20"/>
        </w:rPr>
        <w:t xml:space="preserve">/s/ </w:t>
      </w:r>
      <w:r>
        <w:rPr>
          <w:rFonts w:ascii="Times New Roman;serif" w:hAnsi="Times New Roman;serif"/>
          <w:b w:val="false"/>
          <w:color w:val="000000"/>
          <w:sz w:val="20"/>
        </w:rPr>
        <w:t>CBIZ CPAs P.C.</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CBIZ CPAs P.C.</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 (such date takes into account the acquisition of the attest business of Marcum LLP by CBIZ CPAs P.C. effective November 1, 2024).</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Philadelphia, Pennsylvania </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February 19, 2026</w:t>
      </w:r>
    </w:p>
    <w:p>
      <w:pPr>
        <w:pStyle w:val="TextBody"/>
        <w:bidi w:val="0"/>
        <w:spacing w:before="180" w:after="180"/>
        <w:jc w:val="left"/>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both"/>
        <w:rPr/>
      </w:pPr>
      <w:r>
        <w:rPr/>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Board of Directors of Inseego Corp. </w:t>
      </w:r>
    </w:p>
    <w:p>
      <w:pPr>
        <w:pStyle w:val="TextBody"/>
        <w:bidi w:val="0"/>
        <w:spacing w:lineRule="auto" w:line="268" w:before="180" w:after="18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180" w:after="180"/>
        <w:jc w:val="both"/>
        <w:rPr/>
      </w:pPr>
      <w:r>
        <w:rPr>
          <w:rFonts w:ascii="Times New Roman;serif" w:hAnsi="Times New Roman;serif"/>
          <w:b w:val="false"/>
          <w:color w:val="000000"/>
          <w:sz w:val="20"/>
        </w:rPr>
        <w:t>We have audited the accompanying consolidated balance sheet of Inseego Corp. (the “Company”) as of December 31, 2024, the related consolidated statements of operations and comprehensive income, stockholders’ deficit and cash flows for the year ended December 31, 2024, and the related notes</w:t>
      </w:r>
      <w:r>
        <w:rPr>
          <w:color w:val="000000"/>
        </w:rPr>
        <w:t xml:space="preserve"> </w:t>
      </w:r>
      <w:r>
        <w:rPr>
          <w:rFonts w:ascii="Times New Roman;serif" w:hAnsi="Times New Roman;serif"/>
          <w:b w:val="false"/>
          <w:color w:val="000000"/>
          <w:sz w:val="20"/>
        </w:rPr>
        <w:t>(collectively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lineRule="auto" w:line="268" w:before="18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180" w:after="180"/>
        <w:jc w:val="both"/>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w:t>
      </w:r>
      <w:r>
        <w:rPr>
          <w:rFonts w:ascii="Times New Roman;serif" w:hAnsi="Times New Roman;serif"/>
          <w:b/>
          <w:color w:val="000000"/>
          <w:sz w:val="20"/>
        </w:rPr>
        <w:t>s</w:t>
      </w:r>
      <w:r>
        <w:rPr>
          <w:rFonts w:ascii="Times New Roman;serif" w:hAnsi="Times New Roman;serif"/>
          <w:b w:val="false"/>
          <w:color w:val="000000"/>
          <w:sz w:val="20"/>
        </w:rPr>
        <w: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/s/ Marcum LLP</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Marcum LLP</w:t>
      </w:r>
    </w:p>
    <w:p>
      <w:pPr>
        <w:pStyle w:val="TextBody"/>
        <w:bidi w:val="0"/>
        <w:spacing w:lineRule="auto" w:line="268" w:before="180" w:after="180"/>
        <w:jc w:val="left"/>
        <w:rPr/>
      </w:pPr>
      <w:r>
        <w:rPr>
          <w:rFonts w:ascii="Times New Roman;serif" w:hAnsi="Times New Roman;serif"/>
          <w:b w:val="false"/>
          <w:color w:val="000000"/>
          <w:sz w:val="20"/>
        </w:rPr>
        <w:t>We served as the Company’s auditor from</w:t>
      </w:r>
      <w:r>
        <w:rPr>
          <w:color w:val="000000"/>
        </w:rPr>
        <w:t xml:space="preserve"> </w:t>
      </w:r>
      <w:r>
        <w:rPr>
          <w:rFonts w:ascii="Times New Roman;serif" w:hAnsi="Times New Roman;serif"/>
          <w:b w:val="false"/>
          <w:color w:val="000000"/>
          <w:sz w:val="20"/>
        </w:rPr>
        <w:t>2018 through 2025.</w:t>
      </w:r>
    </w:p>
    <w:p>
      <w:pPr>
        <w:pStyle w:val="TextBody"/>
        <w:bidi w:val="0"/>
        <w:spacing w:lineRule="auto" w:line="268" w:before="180" w:after="180"/>
        <w:jc w:val="both"/>
        <w:rPr>
          <w:rFonts w:ascii="Times New Roman;serif" w:hAnsi="Times New Roman;serif"/>
          <w:b w:val="false"/>
          <w:color w:val="000000"/>
          <w:sz w:val="20"/>
        </w:rPr>
      </w:pPr>
      <w:r>
        <w:rPr>
          <w:rFonts w:ascii="Times New Roman;serif" w:hAnsi="Times New Roman;serif"/>
          <w:b w:val="false"/>
          <w:color w:val="000000"/>
          <w:sz w:val="20"/>
        </w:rPr>
        <w:t>Philadelphia, Pennsylvania</w:t>
      </w:r>
    </w:p>
    <w:p>
      <w:pPr>
        <w:pStyle w:val="TextBody"/>
        <w:bidi w:val="0"/>
        <w:spacing w:lineRule="auto" w:line="268" w:before="180" w:after="180"/>
        <w:jc w:val="left"/>
        <w:rPr>
          <w:rFonts w:ascii="Times New Roman;serif" w:hAnsi="Times New Roman;serif"/>
          <w:b w:val="false"/>
          <w:color w:val="000000"/>
          <w:sz w:val="20"/>
        </w:rPr>
      </w:pPr>
      <w:r>
        <w:rPr>
          <w:rFonts w:ascii="Times New Roman;serif" w:hAnsi="Times New Roman;serif"/>
          <w:b w:val="false"/>
          <w:color w:val="000000"/>
          <w:sz w:val="20"/>
        </w:rPr>
        <w:t>February 19, 2025</w:t>
      </w:r>
    </w:p>
    <w:p>
      <w:pPr>
        <w:pStyle w:val="TextBody"/>
        <w:bidi w:val="0"/>
        <w:spacing w:before="180" w:after="180"/>
        <w:jc w:val="left"/>
        <w:rPr/>
      </w:pPr>
      <w:r>
        <w:rPr/>
      </w:r>
    </w:p>
    <w:p>
      <w:pPr>
        <w:pStyle w:val="TextBody"/>
        <w:bidi w:val="0"/>
        <w:spacing w:before="180" w:after="180"/>
        <w:jc w:val="center"/>
        <w:rPr/>
      </w:pPr>
      <w:r>
        <w:rPr/>
      </w:r>
    </w:p>
    <w:p>
      <w:pPr>
        <w:pStyle w:val="TextBody"/>
        <w:bidi w:val="0"/>
        <w:spacing w:before="180" w:after="180"/>
        <w:jc w:val="center"/>
        <w:rPr/>
      </w:pPr>
      <w:r>
        <w:rPr/>
      </w:r>
    </w:p>
    <w:p>
      <w:pPr>
        <w:pStyle w:val="TextBody"/>
        <w:bidi w:val="0"/>
        <w:spacing w:before="180" w:after="180"/>
        <w:jc w:val="both"/>
        <w:rPr/>
      </w:pPr>
      <w:r>
        <w:rPr/>
      </w:r>
    </w:p>
    <w:p>
      <w:pPr>
        <w:pStyle w:val="TextBody"/>
        <w:bidi w:val="0"/>
        <w:spacing w:before="180" w:after="180"/>
        <w:jc w:val="left"/>
        <w:rPr/>
      </w:pPr>
      <w:r>
        <w:rPr/>
      </w:r>
    </w:p>
    <w:p>
      <w:pPr>
        <w:pStyle w:val="TextBody"/>
        <w:bidi w:val="0"/>
        <w:spacing w:before="180" w:after="18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par value, share and per share data)</w:t>
      </w:r>
    </w:p>
    <w:tbl>
      <w:tblPr>
        <w:tblW w:w="10205" w:type="dxa"/>
        <w:jc w:val="left"/>
        <w:tblInd w:w="0" w:type="dxa"/>
        <w:tblLayout w:type="fixed"/>
        <w:tblCellMar>
          <w:top w:w="28" w:type="dxa"/>
          <w:left w:w="28" w:type="dxa"/>
          <w:bottom w:w="28" w:type="dxa"/>
          <w:right w:w="28" w:type="dxa"/>
        </w:tblCellMar>
      </w:tblPr>
      <w:tblGrid>
        <w:gridCol w:w="3199"/>
        <w:gridCol w:w="2362"/>
        <w:gridCol w:w="2369"/>
        <w:gridCol w:w="196"/>
        <w:gridCol w:w="646"/>
        <w:gridCol w:w="109"/>
        <w:gridCol w:w="109"/>
        <w:gridCol w:w="109"/>
        <w:gridCol w:w="109"/>
        <w:gridCol w:w="196"/>
        <w:gridCol w:w="646"/>
        <w:gridCol w:w="155"/>
      </w:tblGrid>
      <w:tr>
        <w:trPr/>
        <w:tc>
          <w:tcPr>
            <w:tcW w:w="3199"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expected credit losses of $159 and $123,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 of $26,063 and $28,897,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 of $32,336 and $33,558,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Senior Secured Notes,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2,000,000 shares authorized: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E Preferred stock, par value $0.001; 39,500 shares designated, 25,000 shares issued and outstanding as of December 31, 2025 and December 31, 2024, aggregate liquidation preference of $41,966 as of December 31, 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$0.001; 150,000,000 shares authorized, 15,388,978 and 14,990,712 shares issued and outstanding as of December 31, 2025 and December 31, 2024,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Additional paid-in capital </w:t>
            </w:r>
            <w:r>
              <w:rPr>
                <w:rFonts w:ascii="Times New Roman;serif" w:hAnsi="Times New Roman;serif"/>
                <w:b w:val="false"/>
                <w:color w:val="000000"/>
                <w:sz w:val="12"/>
              </w:rPr>
              <w:t>(</w:t>
            </w:r>
            <w:r>
              <w:rPr>
                <w:rFonts w:ascii="Times New Roman;serif" w:hAnsi="Times New Roman;serif"/>
                <w:b w:val="false"/>
                <w:color w:val="000000"/>
                <w:sz w:val="18"/>
              </w:rPr>
              <w:t>*</w:t>
            </w:r>
            <w:r>
              <w:rPr>
                <w:rFonts w:ascii="Times New Roman;serif" w:hAnsi="Times New Roman;serif"/>
                <w:b w:val="false"/>
                <w:color w:val="000000"/>
                <w:sz w:val="12"/>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(905,625)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bl>
      <w:tblPr>
        <w:tblW w:w="10162" w:type="dxa"/>
        <w:jc w:val="left"/>
        <w:tblInd w:w="0" w:type="dxa"/>
        <w:tblLayout w:type="fixed"/>
        <w:tblCellMar>
          <w:top w:w="28" w:type="dxa"/>
          <w:left w:w="28" w:type="dxa"/>
          <w:bottom w:w="28" w:type="dxa"/>
          <w:right w:w="28" w:type="dxa"/>
        </w:tblCellMar>
      </w:tblPr>
      <w:tblGrid>
        <w:gridCol w:w="2771"/>
        <w:gridCol w:w="2431"/>
        <w:gridCol w:w="2448"/>
        <w:gridCol w:w="223"/>
        <w:gridCol w:w="738"/>
        <w:gridCol w:w="109"/>
        <w:gridCol w:w="109"/>
        <w:gridCol w:w="109"/>
        <w:gridCol w:w="109"/>
        <w:gridCol w:w="223"/>
        <w:gridCol w:w="738"/>
        <w:gridCol w:w="154"/>
      </w:tblGrid>
      <w:tr>
        <w:trPr/>
        <w:tc>
          <w:tcPr>
            <w:tcW w:w="277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Mobile solutions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wireless access solutions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services and other</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costs and expenses: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capitalized software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costs and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restructurings,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revolving credit facility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income tax provision of $400 and $1,956, respectively)</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common stockholders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share data:</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 per share: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Basic and diluted: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Basic earnings (loss) per share </w:t>
            </w:r>
            <w:r>
              <w:rPr>
                <w:rFonts w:ascii="Times New Roman;serif" w:hAnsi="Times New Roman;serif"/>
                <w:b w:val="false"/>
                <w:color w:val="000000"/>
                <w:sz w:val="10"/>
              </w:rPr>
              <w:t>(*)</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used in computation of net earnings (loss) per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and diluted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12,535,756 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cumulative foreign currency translation adjustments as a result of the sale of Telematics Business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 Rounding may affect summation.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548" w:type="dxa"/>
        <w:jc w:val="center"/>
        <w:tblInd w:w="0" w:type="dxa"/>
        <w:tblLayout w:type="fixed"/>
        <w:tblCellMar>
          <w:top w:w="28" w:type="dxa"/>
          <w:left w:w="28" w:type="dxa"/>
          <w:bottom w:w="28" w:type="dxa"/>
          <w:right w:w="28" w:type="dxa"/>
        </w:tblCellMar>
      </w:tblPr>
      <w:tblGrid>
        <w:gridCol w:w="630"/>
        <w:gridCol w:w="225"/>
        <w:gridCol w:w="226"/>
        <w:gridCol w:w="203"/>
        <w:gridCol w:w="203"/>
        <w:gridCol w:w="171"/>
        <w:gridCol w:w="109"/>
        <w:gridCol w:w="109"/>
        <w:gridCol w:w="109"/>
        <w:gridCol w:w="196"/>
        <w:gridCol w:w="406"/>
        <w:gridCol w:w="109"/>
        <w:gridCol w:w="109"/>
        <w:gridCol w:w="109"/>
        <w:gridCol w:w="109"/>
        <w:gridCol w:w="323"/>
        <w:gridCol w:w="323"/>
        <w:gridCol w:w="171"/>
        <w:gridCol w:w="109"/>
        <w:gridCol w:w="109"/>
        <w:gridCol w:w="109"/>
        <w:gridCol w:w="196"/>
        <w:gridCol w:w="331"/>
        <w:gridCol w:w="109"/>
        <w:gridCol w:w="109"/>
        <w:gridCol w:w="109"/>
        <w:gridCol w:w="109"/>
        <w:gridCol w:w="196"/>
        <w:gridCol w:w="736"/>
        <w:gridCol w:w="109"/>
        <w:gridCol w:w="109"/>
        <w:gridCol w:w="109"/>
        <w:gridCol w:w="109"/>
        <w:gridCol w:w="109"/>
        <w:gridCol w:w="109"/>
        <w:gridCol w:w="196"/>
        <w:gridCol w:w="751"/>
        <w:gridCol w:w="109"/>
        <w:gridCol w:w="109"/>
        <w:gridCol w:w="109"/>
        <w:gridCol w:w="109"/>
        <w:gridCol w:w="228"/>
        <w:gridCol w:w="665"/>
        <w:gridCol w:w="128"/>
        <w:gridCol w:w="109"/>
        <w:gridCol w:w="109"/>
        <w:gridCol w:w="109"/>
        <w:gridCol w:w="196"/>
        <w:gridCol w:w="75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 xml:space="preserve">Comprehensive (Loss)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Shares </w:t>
            </w:r>
            <w:r>
              <w:rPr>
                <w:rFonts w:ascii="Times New Roman;serif" w:hAnsi="Times New Roman;serif"/>
                <w:b/>
                <w:color w:val="000000"/>
                <w:sz w:val="9"/>
              </w:rPr>
              <w:t>(</w:t>
            </w:r>
            <w:r>
              <w:rPr>
                <w:rFonts w:ascii="Times New Roman;serif" w:hAnsi="Times New Roman;serif"/>
                <w:b/>
                <w:color w:val="000000"/>
                <w:sz w:val="14"/>
              </w:rPr>
              <w:t>*</w:t>
            </w:r>
            <w:r>
              <w:rPr>
                <w:rFonts w:ascii="Times New Roman;serif" w:hAnsi="Times New Roman;serif"/>
                <w:b/>
                <w:color w:val="000000"/>
                <w:sz w:val="9"/>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debt restructurings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debt restructurings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Release of cumulative foreign currency translation adjustments as a result of the sale of Telematics Business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stock options, vesting of restricted stock units and stock issued under employee stock purchase plan, net of taxes withheld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common stock warrants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INSEEGO CORP.</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8393" w:type="dxa"/>
        <w:jc w:val="left"/>
        <w:tblInd w:w="0" w:type="dxa"/>
        <w:tblLayout w:type="fixed"/>
        <w:tblCellMar>
          <w:top w:w="28" w:type="dxa"/>
          <w:left w:w="28" w:type="dxa"/>
          <w:bottom w:w="28" w:type="dxa"/>
          <w:right w:w="28" w:type="dxa"/>
        </w:tblCellMar>
      </w:tblPr>
      <w:tblGrid>
        <w:gridCol w:w="2217"/>
        <w:gridCol w:w="1943"/>
        <w:gridCol w:w="1959"/>
        <w:gridCol w:w="196"/>
        <w:gridCol w:w="646"/>
        <w:gridCol w:w="109"/>
        <w:gridCol w:w="109"/>
        <w:gridCol w:w="109"/>
        <w:gridCol w:w="109"/>
        <w:gridCol w:w="196"/>
        <w:gridCol w:w="646"/>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capitalized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early lease termination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(accretion) of debt discount/premium and debt issuance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revolving credit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restructuring,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effects of divestiture: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cash flows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capitalized software development costs and purchases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cash flows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cash flows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warrants to purchase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stock option exercises and ESPP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2025 Convertible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short-term loan and warrants,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on short-term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repayments on asset-backed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from continuing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cash flows from discontinued operations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year for:</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leases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financed through accounts payable or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before="60" w:after="283"/>
        <w:jc w:val="center"/>
        <w:rPr/>
      </w:pPr>
      <w:r>
        <w:rPr/>
      </w:r>
    </w:p>
    <w:tbl>
      <w:tblPr>
        <w:tblW w:w="8424" w:type="dxa"/>
        <w:jc w:val="left"/>
        <w:tblInd w:w="0" w:type="dxa"/>
        <w:tblLayout w:type="fixed"/>
        <w:tblCellMar>
          <w:top w:w="28" w:type="dxa"/>
          <w:left w:w="28" w:type="dxa"/>
          <w:bottom w:w="28" w:type="dxa"/>
          <w:right w:w="28" w:type="dxa"/>
        </w:tblCellMar>
      </w:tblPr>
      <w:tblGrid>
        <w:gridCol w:w="2313"/>
        <w:gridCol w:w="2032"/>
        <w:gridCol w:w="2045"/>
        <w:gridCol w:w="196"/>
        <w:gridCol w:w="406"/>
        <w:gridCol w:w="109"/>
        <w:gridCol w:w="109"/>
        <w:gridCol w:w="109"/>
        <w:gridCol w:w="109"/>
        <w:gridCol w:w="196"/>
        <w:gridCol w:w="646"/>
        <w:gridCol w:w="154"/>
      </w:tblGrid>
      <w:tr>
        <w:trPr/>
        <w:tc>
          <w:tcPr>
            <w:tcW w:w="2313"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 Senior Secured Notes issued in exchange for 2025 Convertible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in exchange for 2025 Convertible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issued in exchange for 2025 Convertible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price receivable for Telematics divestiture within prepaid and 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taxes related to Telematics divestiture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1. Nature of Business and Significant Accounting Policies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Corp. (the “Company”, “Inseego”, “We” or “Our”) is a leader in the design and development of fixed and mobile wireless products as well as cloud solutions for businesses, consumers, and governments around the globe. Our products and solutions are powered by our key wireless innovations in mobile and FWA technologies, including a suite of 5G products and purpose-built SaaS cloud platforms.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Inseego is a Delaware corporation formed in 2016 and is the successor to Novatel Wireless, Inc., a Delaware corporation formed in 1996. The Company’s principal executive and corporate offices are located at 9710 Scranton Road, Suite 200, San Diego, CA 92121. Inseego’s common stock trades on the NASDAQ Global Select Market under the trading symbol “INSG.”</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intercompany transactions and balances have been eliminated in consolidation.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Inseego Corp.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amounts recorded in the prior period consolidated financial statements have been reclassified to conform to the current period financial statement presentation. These reclassifications had no effect on previously reported operating results.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Divestiture of the Telematics Business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27, 2024, the Company completed the previously announced sale of its fleet management and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 $52.0 million in an all-cash transaction (the “Sale Transaction”). The Purchase Agreement provided for a working capital adjustment, which was determined in December 2024 and funded in January 2025, resulting in an increase to the initial purchase consideration of $0.7 million as a result of changes in closing working capital and net debt.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results of operations and cash flows associated with the Telematics Business have been classified as discontinued operations within the Consolidated Statements of Operations and Comprehensive Income and Consolidated Statements of Cash Flows.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 Held for Sale and Discontinued Operations</w:t>
      </w:r>
      <w:r>
        <w:rPr>
          <w:color w:val="000000"/>
        </w:rPr>
        <w:t xml:space="preserve"> </w:t>
      </w:r>
      <w:r>
        <w:rPr>
          <w:rFonts w:ascii="Times New Roman;serif" w:hAnsi="Times New Roman;serif"/>
          <w:b w:val="false"/>
          <w:color w:val="000000"/>
          <w:sz w:val="20"/>
        </w:rPr>
        <w:t>for additional information regarding the Telematics Business. Unless otherwise noted, disclosures within these remaining Notes to Consolidated Financial Statements relate solely to the Company's continuing operations.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Held for Sale and Discontinued Operations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generally probable of being completed within one year. Management performs an assessment at least quarterly or when events or changes in business circumstances indicate that a change in classification may be necessary.</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Assets and liabilities held for sale are presented separately within the Consolidated Balance Sheets with any adjustments necessary to measure the disposal group at the lower of its carrying value or fair value less costs to sell. Depreciation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No impairment upon classification as held for sale was recorded during the years ended December 31, 2025 or 2024.</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All common share and per-share amounts in this Form 10-K have been retroactively restated to reflect the effect of the Reverse Stock Split.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one reportable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 See Note 13 – Segment, Geographic, and Concentrations of Risk Information for more information.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highly liquid investments with original maturities of three months or less. The Company’s cash and cash equivalents are generally held with large financial institutions to reduce the amount of exposure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credit risk. Cash and cash equivalents are recorded at market value, which approximates cost. There are no restricted cash amounts as of December 31, 2025 or 2024. Gains and losses associated with the Company’s foreign currency denominated demand deposits are recorded as a component of other income, net, in the Consolidated Statements of Operations and Comprehensive Income.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primarily include mobile hotspots and fixed wireless routers, which are supported by software and cloud services designed to enable customers to easily analyze data insights and configure and manage their hardware.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revenues from the sale of its products and services into two categories, Product Revenue, which consists of our Mobile Solutions and Fixed Wireless Access Solutions, and Software Services and Other. A description of each of the Company’s revenue classifications is as follows:</w:t>
      </w:r>
    </w:p>
    <w:p>
      <w:pPr>
        <w:pStyle w:val="TextBody"/>
        <w:bidi w:val="0"/>
        <w:spacing w:lineRule="auto" w:line="276" w:before="0" w:after="0"/>
        <w:ind w:left="0" w:right="0" w:firstLine="450"/>
        <w:jc w:val="left"/>
        <w:rPr/>
      </w:pPr>
      <w:r>
        <w:rPr>
          <w:rFonts w:ascii="Times New Roman;serif" w:hAnsi="Times New Roman;serif"/>
          <w:b w:val="false"/>
          <w:i/>
          <w:color w:val="000000"/>
          <w:sz w:val="20"/>
        </w:rPr>
        <w:t>Mobile Solutions</w:t>
      </w:r>
      <w:r>
        <w:rPr>
          <w:rFonts w:ascii="Times New Roman;serif" w:hAnsi="Times New Roman;serif"/>
          <w:b w:val="false"/>
          <w:i/>
          <w:color w:val="000000"/>
          <w:sz w:val="24"/>
        </w:rPr>
        <w:t xml:space="preserve">: </w:t>
      </w:r>
      <w:r>
        <w:rPr>
          <w:rFonts w:ascii="Times New Roman;serif" w:hAnsi="Times New Roman;serif"/>
          <w:b w:val="false"/>
          <w:color w:val="000000"/>
          <w:sz w:val="20"/>
        </w:rPr>
        <w:t>Our mobile broadband devices, sold under the MiFi brand, provide secure high-speed access to corporate, public and personal information through the Internet and enterprise networks. Our mobile portfolio is supported by our cloud offering, Inseego Connect for device management, whose revenues are included in</w:t>
      </w:r>
      <w:r>
        <w:rPr>
          <w:color w:val="000000"/>
        </w:rPr>
        <w:t xml:space="preserve">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below. Our Mobile Solutions customer base is primarily comprised of mobile operators. These mobile operators include T-Mobile, Verizon Wireless, and AT&amp;T in the United States, Rogers and Telus in Canada, and various companies in other vertical markets.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Fixed Wireless Access Solutions: </w:t>
      </w:r>
      <w:r>
        <w:rPr>
          <w:rFonts w:ascii="Times New Roman;serif" w:hAnsi="Times New Roman;serif"/>
          <w:b w:val="false"/>
          <w:color w:val="000000"/>
          <w:sz w:val="20"/>
        </w:rPr>
        <w:t xml:space="preserve">Our fixed wireless access solutions are deployed by enterprise and SMB customers for their distributed sites and 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serif" w:hAnsi="Times New Roman;serif"/>
          <w:b w:val="false"/>
          <w:i/>
          <w:color w:val="000000"/>
          <w:sz w:val="20"/>
        </w:rPr>
        <w:t>Software Services and Other</w:t>
      </w:r>
      <w:r>
        <w:rPr>
          <w:color w:val="000000"/>
        </w:rPr>
        <w:t xml:space="preserve"> </w:t>
      </w:r>
      <w:r>
        <w:rPr>
          <w:rFonts w:ascii="Times New Roman;serif" w:hAnsi="Times New Roman;serif"/>
          <w:b w:val="false"/>
          <w:color w:val="000000"/>
          <w:sz w:val="20"/>
        </w:rPr>
        <w:t xml:space="preserve">below. These devices, sold under the Wavemaker brand, are sold by mobile operators such as T-Mobile, Verizon Wireless, and AT&amp;T along with distribution and channel partners. </w:t>
      </w:r>
    </w:p>
    <w:p>
      <w:pPr>
        <w:pStyle w:val="TextBody"/>
        <w:bidi w:val="0"/>
        <w:spacing w:before="0" w:after="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Software Services and Other: </w:t>
      </w:r>
      <w:r>
        <w:rPr>
          <w:rFonts w:ascii="Times New Roman;serif" w:hAnsi="Times New Roman;serif"/>
          <w:b w:val="false"/>
          <w:color w:val="000000"/>
          <w:sz w:val="20"/>
        </w:rPr>
        <w:t>A substantial majority of our software services and other revenue comes from providing a SaaS CSP wireless 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r>
        <w:rPr>
          <w:color w:val="000000"/>
        </w:rPr>
        <w:t xml:space="preserve"> </w:t>
      </w:r>
    </w:p>
    <w:p>
      <w:pPr>
        <w:pStyle w:val="TextBody"/>
        <w:bidi w:val="0"/>
        <w:spacing w:lineRule="auto" w:line="276" w:before="180" w:after="18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 Recognition Criteria</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follows Accounting Standards Update (“ASU”) 2014-09, </w:t>
      </w:r>
      <w:r>
        <w:rPr>
          <w:rFonts w:ascii="Times New Roman;serif" w:hAnsi="Times New Roman;serif"/>
          <w:b w:val="false"/>
          <w:i/>
          <w:color w:val="000000"/>
          <w:sz w:val="20"/>
        </w:rPr>
        <w:t xml:space="preserve">Revenue from Contracts with Customers (Topic 606) </w:t>
      </w:r>
      <w:r>
        <w:rPr>
          <w:rFonts w:ascii="Times New Roman;serif" w:hAnsi="Times New Roman;serif"/>
          <w:b w:val="false"/>
          <w:color w:val="000000"/>
          <w:sz w:val="20"/>
        </w:rPr>
        <w:t>(as amended, “ASC 606”), which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upon transfer of control of products or services to customers in an amount that reflects the consideration the Company expects to receive in exchange for those products or services. The Company determines revenue recognition according to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performance obligations are satisfied. Substantially all of our product revenues are recognized at a point in time, while substantially all of our software services and other revenues are recognized over time.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Customer Contracts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a contract when it has approval and commitment from both parties, the rights of the parties are identified, payment terms are identified, the contract has commercial substance and collectability of consideration is probable.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performance obligations are generally established when a customer submits a purchase order notification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the Company has an unconditional right to receive payment. The Company’s prices are fixed and have no history of being affected by contingent events that could impact the transaction price. The Company generally does not offer price concessions and does not accept payment that is less than the price stated upon acceptance of a customer purchase order.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contracts that may include various combinations of products and services which are generally capable of being distinct and accounted for as separate performance obligations.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Hardware. </w:t>
      </w:r>
      <w:r>
        <w:rPr>
          <w:rFonts w:ascii="Times New Roman;serif" w:hAnsi="Times New Roman;serif"/>
          <w:b w:val="false"/>
          <w:color w:val="000000"/>
          <w:sz w:val="20"/>
        </w:rPr>
        <w:t>Hardware revenue from the sale of the Company’s devices is recognized when the Company transfers control to the customer, typically at the time when the product is delivered, shipped or installed, at which time, title passes to the customer and there are no further performance obligations with regards to the hardware device. The Company also considered the performance obligations in its customer master supply agreements and determined that, for the majority of its revenue, the Company generally satisfies performance obligations at a point in time upon delivery of the product to the customer.</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Maintenance and support services revenue. </w:t>
      </w:r>
      <w:r>
        <w:rPr>
          <w:rFonts w:ascii="Times New Roman;serif" w:hAnsi="Times New Roman;serif"/>
          <w:b w:val="false"/>
          <w:color w:val="000000"/>
          <w:sz w:val="20"/>
        </w:rPr>
        <w:t>Periodically, the Company sells separately-priced warranty contracts that extend beyond the Company’s base warranty period. The separately priced service contracts range from 12 to 36 months. The Company typically receives payment at the inception of the contract and recognizes revenue as earned on a straight-line basis over the term of the contract. The Company’s estimated allowances for product warranties can vary from actual results and the Company may have to record additional charges to cost of revenue.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Within cost of revenue, the Company records an estimate to reflect its standard warranty obligation to end users to provide for replacement of a defective product. The standard obligation period for most regions is 12 months. Factors that affect the warranty obligation include product failure rates, material usage, and service delivery costs incurred in correcting product failures.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SaaS and other services. </w:t>
      </w:r>
      <w:r>
        <w:rPr>
          <w:rFonts w:ascii="Times New Roman;serif" w:hAnsi="Times New Roman;serif"/>
          <w:b w:val="false"/>
          <w:color w:val="000000"/>
          <w:sz w:val="20"/>
        </w:rPr>
        <w:t xml:space="preserve">SaaS subscription revenue is recognized over time on a ratable basis over the contract term beginning on the date that its service is made available to the customer. Subscription periods range from monthly to multi-year, with the majority of contracts being one to three years in length. Revenues from the Company’s SaaS subscription services represent a single promise to provide continuous access to its software solutions and their processing capabilities, in the form of a service, through one of the Company’s data centers or a hosted data center.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call center support and remote system diagnostic and software upgrades as needed. These services are combined with the recurring monthly subscription service since they are highly interrelated and interdependent. </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Professional services revenue. </w:t>
      </w:r>
      <w:r>
        <w:rPr>
          <w:rFonts w:ascii="Times New Roman;serif" w:hAnsi="Times New Roman;serif"/>
          <w:b w:val="false"/>
          <w:color w:val="000000"/>
          <w:sz w:val="20"/>
        </w:rPr>
        <w:t>From time to time, the Company enters into special engineering design service agreements. Revenues from 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 xml:space="preserve">Multiple performance obligations. </w:t>
      </w:r>
      <w:r>
        <w:rPr>
          <w:rFonts w:ascii="Times New Roman;serif" w:hAnsi="Times New Roman;serif"/>
          <w:b w:val="false"/>
          <w:color w:val="000000"/>
          <w:sz w:val="20"/>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When there are multiple performance obligations within a single contract, the Company allocates the total contract price to each distinct performance obligation based on their stand-alone selling prices (“SSPs”). Judgment is required to determine the SSP for each distinct performance obligation. The Company determines the SSPs of its products and software services offerings based primarily on observable selling prices when available, or otherwise using an adjusted market assessment or expected</w:t>
        <w:noBreakHyphen/>
        <w:t>cost</w:t>
        <w:noBreakHyphen/>
        <w:t>plus</w:t>
        <w:noBreakHyphen/>
        <w:t xml:space="preserve">margin approach. These methods may incorporate significant inputs such as market pricing for similar mobile and FWA devices, subscription pricing benchmarks for cloud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management and SaaS services, and estimated cost structures plus targeted margins, all of which reflect estimates of prices at which the Company would sell each performance obligation separately.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instances where the software elements included within hardware for various products are considered to be functioning together with non-software elements to provide the tangible product’s essential functionality, for example, firmware, these arrangements are accounted for as a single distinct performance obligation.</w:t>
      </w:r>
    </w:p>
    <w:p>
      <w:pPr>
        <w:pStyle w:val="TextBody"/>
        <w:bidi w:val="0"/>
        <w:spacing w:lineRule="auto" w:line="276"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capitalizes sales commissions earned by its sales force as contract acquisition costs if such costs are significant and both incremental and recoverable. Any capitalized sales commissions are either deferred and amortized over a period of benefit exceeding one year or are expensed as incurred if the period of benefit is one year or less. There were no contract assets related to customer acquisition costs as of December 31, 2025 or 2024 since the Company’s customer contracts are predominantly hardware sales that are immediately recognized as revenue upon either shipment or delivery, and therefore the related contract acquisition costs are also immediately recognized. Sales commissions are included in sales and marketing expense as incurred. Sales commissions associated with SaaS offerings are not material.</w:t>
      </w:r>
    </w:p>
    <w:p>
      <w:pPr>
        <w:pStyle w:val="TextBody"/>
        <w:bidi w:val="0"/>
        <w:spacing w:lineRule="auto" w:line="276" w:before="180" w:after="18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Timing of revenue recognition may differ from the timing of invoicing to customers. If customers are invoiced for subscription services in advance of the service period, then deferred revenue is recorded. Contract liabilities are also recorded when the Company collects payments in advance of performing the services. As of December 31, 2025, December 31, 2024, and December 31, 2023 the Company had contract liabilities comprised of $6.2 million, $9.2 million and $2.7 million of short-term deferred revenue included within accrued expenses and other current liabilities and $4.6 million, $4.6 million, and $1.7 million of long-term deferred revenue included within other long-term liabilities on the consolidated balance sheets, respectively.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$7.0 million and $21.0 million, respectively, of revenue was deferred due to unsatisfied performance obligations for service contracts and undelivered product commitments, $10.1 million and $11.5 million, respectively, of revenue was recognized for the satisfaction of performance obligations, and $9.2 million and $2.7 million, respectively, of this recognized revenue was included in the contract liability balance at the beginning of the period, respectively.</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Cost of revenues includes the costs associated with the manufacturing of our portfolio of hardware devices, as well as direct personnel costs for employees and contractors, and other period adjustments related to costs of inventories sold or for sale or use in manufacturing.</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Shipping and Handling Charges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Fees charged to customers for shipping and handling of products are included in product revenues, and costs for shipping and handling of products are included as a component of sales and marketing expense. Shipping and handling costs were approximately $0.4 million and $0.6 million for the years ended December 31,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Taxes Collected from Customers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Taxes collected on the value of transaction revenue are excluded from product and services revenues and cost of sales and are accrued in current liabilities until remitted to governmental authorities.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Accounts Receivable and Allowance for Expected Credit Losses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receivable are customer obligations generally due under normal trade terms for the industry. Credit terms are granted and periodically revised based on evaluations of the customer’s financial condition. The Company performs ongoing credit evaluations of its customers. The Company’s payment terms are generally net 30 or 60 days from invoice date.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an allowance for credit losses at the time a receivable is recorded based on its estimate of expected credit losses and adjusts this estimate over the life of the receivable as needed. The Company evaluates the aggregation and risk characteristics of a receivable pool and develops loss rates that reflect historical collections, current forecasts of future economic conditions over the time horizon the Company is exposed to credit risk, and payment terms or conditions that may materially affect future forecasts. As needed, amounts are written-off when determined to be uncollectible.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December 31, 2024, and December 31, 2023 the Company reported $25.1 million, $13.8 million, and $18.2 million, respectively, of accounts receivable, net of allowances of $0.2 million, $0.1 million, and $0.6 million, respectively.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Inventories and Provision for Excess and Obsolete Inventory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(first-in, first-out method) or net realizable value. Inbound shipping and handling costs are classified as a component of cost of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Intangible Assets other than Goodwill</w:t>
      </w:r>
    </w:p>
    <w:p>
      <w:pPr>
        <w:pStyle w:val="TextBody"/>
        <w:bidi w:val="0"/>
        <w:spacing w:lineRule="auto" w:line="276" w:before="180" w:after="180"/>
        <w:ind w:left="0" w:right="0" w:firstLine="450"/>
        <w:jc w:val="left"/>
        <w:rPr/>
      </w:pPr>
      <w:r>
        <w:rPr>
          <w:rFonts w:ascii="Times New Roman;serif" w:hAnsi="Times New Roman;serif"/>
          <w:b w:val="false"/>
          <w:color w:val="000000"/>
          <w:sz w:val="20"/>
        </w:rPr>
        <w:t>Intangible assets include purchased finite-lived and indefinite-lived intangible assets resulting from previous acquisitions, along with the costs of non-exclusive and perpetual worldwide software technology licenses and capitalized software development costs for both internal and external use. Finite-lived intangible assets are amortized on a straight-line basis over the estimated useful lives of the assets, which range fr</w:t>
      </w:r>
      <w:r>
        <w:rPr>
          <w:rFonts w:ascii="Times New Roman;serif" w:hAnsi="Times New Roman;serif"/>
          <w:b w:val="false"/>
          <w:color w:val="000000"/>
          <w:sz w:val="20"/>
          <w:shd w:fill="FFFFFF" w:val="clear"/>
        </w:rPr>
        <w:t>om two to ten years. In</w:t>
      </w:r>
      <w:r>
        <w:rPr>
          <w:rFonts w:ascii="Times New Roman;serif" w:hAnsi="Times New Roman;serif"/>
          <w:b w:val="false"/>
          <w:color w:val="000000"/>
          <w:sz w:val="20"/>
        </w:rPr>
        <w:t>definite-lived intangible assets, including in-process capitalized software development costs, are not amortized; however, they are tested for impairment annually, and between annual tests, if certain events occur indicating that the carrying amounts may be impaired.</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Development Costs for Software Intended to Be Sold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Software development costs for software intended to be sold are expensed as incurred until technological feasibility has been established, at which time those costs are capitalized as intangible assets until the software is available for general release to customers. Capitalized software development costs are amortized on a straight-line basis over the estimated economic life. The straight-line recognition method approximates the manner in which the expected benefit will be derived. Costs incurred to enhance existing software or after the software is available for general release to customers are expensed in the period they are incurred and included in research and development expense in the consolidated statements of operations. At each balance sheet date, the unamortized capitalized software development cost for external use is compared to its net realizable value by analyzing critical inputs such as expected future lifetime revenue. The amount by which unamortized software costs exceed the net realizable value, if any, is recognized as a charge to impairment expense in the period it is determined.</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Development Costs for Software Intended for Internal Use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Costs incurred in the preliminary stages of development are expensed as incurred and included in research and development or general and administrative expense in the consolidated statements of operations. Once an application has reached the development stage, internal and external costs, if direct and incremental, are capitalized.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recorded as intangible assets and are amortized on a straight-line basis to depreciation and amortization expense in the consolidated statement of operations over the estimated useful life of the software. The Company tests these assets for impairment whenever events or circumstances occur that could impact their recoverability.</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Valuation of Indefinite-Lived Intangible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performs an annual impairment review of indefinite-lived assets during the fourth quarter of each year, and more frequently if the Company believes indicators of impairment exist. To review for impairment, the Company first assesses qualitative factors to determine whether events or circumstances lead to a determination that it is more likely than not that the fair value of the asset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asset is less than its carrying amount, then no further assessment is performed. If the Company determines that it is more likely than not that the fair value of the asset is less than its carrying amount, then the Company calculates the fair value of the asset and compares the fair value to the asset’s carrying value. An impairment charge is recognized if the asset’s estimated fair value is less than it’s carrying value. The Company did not record any impairment losses related to indefinite-lived intangible assets during the years ended December 31, 2025 and 2024.</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purchase price over estimated fair value of net assets of businesses acquired in a business combination. Goodwill is tested for impairment during the fourth quarter of each year, and more frequently if the Company believes indicators of impairment exist.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Valuation of Goodwill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Goodwill is tested for impairment at the reporting unit level by first assessing qualitative factors to determine whether events or circumstances lead to a determination that it is more likely than not that the fair value of the Company’s reporting unit is less than its carrying amount. The Company’s qualitative assessment is based on various macroeconomic, industry-specific, and company specific factors. These factors include: (i) industry or economic trends; (ii) current, historical, or projected financial performance, and; (iii) the Company’s market capitalization. After assessing the totality of events and circumstances, if the Company determines that it is not more likely than not that the fair value of the Company’s reporting unit is less than its carrying amount, no further assessment is performed. If the Company determines that it is more likely than not that the fair value of the Company’s reporting unit is less than its carrying amount, the Company calculates the fair value of the reporting unit and compares the fair value to the reporting unit’s carrying amount. An impairment charge is recognized if the fair value of the business (reporting unit) is less than its carrying value.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identified one reporting unit for the purpose of goodwill impairment testing and performed a qualitative test for goodwill impairment of the one reporting unit during the fourth fiscal quarter. Based upon the results of qualitative testing performed in the fourth quarter of both 2025 and 2024, the Company determined that it was more-likely-than not that the fair value of the reporting unit with goodwill were greater than their respective carrying values and no impairment loss related to goodwill was recorded during the years ended December 31, 2025 or 2024.</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The Company periodically evaluates the carrying value of the unamortized balances of its long-lived assets, including property, plant and equipment and rental assets, to determine whether impairment of these assets has occurred or whether a revision to the related amortization periods should be made. If the carrying value of the long-lived asset group exceeds the estimated future undiscounted cash flows, an impairment loss is recorded based on the amount by which the asset group’s carrying amount exceeds its fair value. Fair value is determined based on an evaluation of the assets’ associated discounted future cash flows or appraised value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For the years ended December 31, 2025 and 2024, the Company had no impairment loss related to long-lived assets, except for the impairment of the capitalized software development costs for internal and external use, described further in </w:t>
      </w:r>
      <w:r>
        <w:rPr>
          <w:rFonts w:ascii="Times New Roman;serif" w:hAnsi="Times New Roman;serif"/>
          <w:b w:val="false"/>
          <w:i/>
          <w:color w:val="000000"/>
          <w:sz w:val="20"/>
        </w:rPr>
        <w:t>Note 4 – Goodwill and Other Intangible Assets</w:t>
      </w:r>
      <w:r>
        <w:rPr>
          <w:rFonts w:ascii="Times New Roman;serif" w:hAnsi="Times New Roman;serif"/>
          <w:b w:val="false"/>
          <w:color w:val="000000"/>
          <w:sz w:val="20"/>
        </w:rPr>
        <w:t>.</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are initially stated at cost and depreciated using the straight-line method. Land is not depreciated. Leasehold improvements are depreciated over the shorter of the related remaining lease period or useful life, not to exceed 5 years. Product tooling is depreciated over 13 months. Computer equipment, purchased software, vehicles, production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0"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equipment, and furniture and fixtures, are depreciated over useful lives ranging from 2 to 7 years. Amortization of equipment under finance leases is included in depreciation expense.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Expenditures for repairs and maintenance are expensed as incurred. Expenditures for major renewals and betterment that extend the useful lives of existing property, plant and equipment are capitalized and depreciated. Upon retirement or disposition of property, plant and equipment, any resulting gain or loss is recognized in other income (expense), net, in the Consolidated Statements of Operations and Comprehensive Income.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debt in accordance with ASC 470, Debt and records specific incremental costs paid to third parties in connection with the issuance of long-term debt are deferred as a direct deduction from the carrying value of the associated debt liability on its consolidated balance sheet. The deferred financing costs are amortized as interest expense over the term of the related debt using the effective interest method.</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Debt Modifications and Extinguishments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the Company modifies or extinguishes debt, it first evaluates whether the modification qualifies as a troubled debt restructuring (TDR) under ASC Topic 470-60, which requires debt modifications to be evaluated to determine if (1) the borrower is experiencing financial difficulty, and (2) the lender grants the borrower a concession. If a TDR is determined not to have occurred, the Company evaluates the modification in accordance with ASC Topic 470-50-40, which requires modification to debt instruments to be evaluated to assess whether debt modification or debt extinguishment accounting is applicable. This evaluation includes analyzing whether there are significant and consequential changes to the economic substance of the note. If the change is deemed insignificant then the change is considered a debt modification, whereas if the change is substantial the change is reflected as a debt extinguishment.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debt extinguishment guidance applies, the previous debt principal amount is removed, the previously capitalized debt issuance costs are expensed, the value of instruments exchanged are recorded, including cash, new debt, warrants and common stock, and a gain or loss on extinguishment of debt is recorded. If debt modification guidance applies, no gain or loss is recorded and the effective interest rate of the debt is updated based on the carrying value of the debt and the revised future cash flows. Any previously capitalized debt issuance costs in a debt modification are amortized as interest expense over the term of the new debt instrument.</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Convertible Debt Instruments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The Company evaluates embedded features within convertible debt that will be settled in shares upon conversion under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to determine whether the embedded feature(s) should be bifurcated from the host instrument and accounted for as a derivative at fair value with changes in fair value recorded in earnings.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 embedded derivative is bifurcated from share-settled convertible debt, then the Company records the debt component at cost less a debt discount equal to the bifurcated derivative’s fair value. The Company amortizes the debt discount over the life of the debt instrument as additional non-cash interest expense utilizing the effective interest method. The convertible debt and the derivative liability are presented in aggregate on the Consolidated Balance Sheets. The derivative liability is remeasured at each reporting period with changes in fair value recorded in the Consolidated Statements of Operations and Comprehensive Income within other income (expense), net.</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evaluates stock warrants, debt instruments and other contracts to determine if those contracts or embedded components of those contracts qualify as derivative financial instruments to be separately accounted for under the relevant sections of ASC 815.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consolidated statements of operations as other income or other expense. Upon conversion, exercise or expiration of a derivative financial instrument, the instrument is marked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1"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primarily of personnel costs for our engineers engaged in the design and development of our products, software and technologies, project material costs and services. Such costs are charged to research and development expense as they are incurred, to the extent not capitalized as software development costs for external or internal use.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Lease Accounting</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Lessee Arrangements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contains a lease at inception. The Company primarily leases office space, automobiles and equipment. Certain of the Company’s leases contain provisions that provide for one or more options to renew at the Company’s sole discretion. Certain real estate leases also include executory costs such as common area maintenance. The Company accounts for lease and non-lease components, including common area maintenance, as a single lease component as a practical expedient election. None of the Company’s operating lease agreements contain any material residual value guarantees or material restrictive covenants.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Right-of-use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lease payments over the lease term. The lease term includes the base non-cancelable term, and any renewal options that are reasonably certain to be exercised at the commencement date. The Company uses its incremental borrowing rate based on the information available at commencement date in determining the present value of lease payments. ROU assets also include any lease prepayments made and exclude lease incentives. Rental expense related to operating leases is recognized on a straight-line basis over the lease term. The Company has elected the practical expedient to exclude any short-term lease, defined as a lease with an original term of 12 months or less, from the provisions of ASC 842,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Variable lease payments that do not depend on an index or rate are excluded from the measurement of ROU assets and lease liabilities and are recognized in the period in which the obligation for those payments is incurred.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not to present short-term leases on the consolidated balance sheet as these leases have a lease term of 12 months or less at lease inception and do not contain purchase options or renewal terms that the Company is reasonably certain to exercise.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Foreign Currency Transactions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Other income (expense), net, in the Consolidated Statements of Operations and Comprehensive Income.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2"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Uncertain tax positions are recognized in the first subsequent financial reporting period in which that threshold is met or from changes in circumstances such as the expiration of applicable statutes of limitations. The Company’s policy is to include interest and penalties related to such positions as a component of income tax expense.</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party to various legal proceedings arising in the ordinary course of business. The Company records a loss when information indicates that a loss is both probable and reasonably estimable. Where a liability is probable and there is a range of estimated loss with no best estimate in the range, the Company records the minimum estimated liability related to the claim. As additional information becomes available, the Company revises its estimates, if necessary. The Company expenses litigation costs as incurred.</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grant date fair value of time-based RSUs is the closing market price of the Company’s common stock on the grant date, reduced by the present value of expected dividends to be paid on the Company’s common stock prior to vesting, if any. For ESPP rights and stock options with only service conditions, the Company generally uses the Black-Scholes option pricing model to estimate their grant date fair value. For equity awards that include both service and market-based conditions, the Company estimates the awards’ grant date fair value using the Monte Carlo simulation technique.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share-based compensation expense over the requisite service period of each individual award, which generally equals the vesting period, using the straight-line method.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assumptions used to value stock awards on the grant date of such awards.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Retirement Savings Plan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 Employer matching contributions under the Plan were $0.6 million and $0.6 million for the years ended December 31, 2025 and 2024, respectively. Employer matching contributions vest immediately.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3"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Net Income (Loss) Per Share Attributable to Common Stockholders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attributable to common stockholders is computed by dividing the net loss attributable to common stockholders by the weighted-average number of shares that were outstanding during the period. Diluted net income (loss) attributable to common stockholders (“EPS”) reflects the potential dilution that could occur if securities or other contracts to acquire common stock were exercised or converted into common stock. Potentially dilutive securities are excluded from the diluted EPS computation in loss periods as their effect would be anti-dilutive.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and is defined as follows: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Level 1:    </w:t>
      </w:r>
      <w:r>
        <w:rPr>
          <w:rFonts w:ascii="Times New Roman;serif" w:hAnsi="Times New Roman;serif"/>
          <w:b w:val="false"/>
          <w:color w:val="000000"/>
          <w:sz w:val="20"/>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2:    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pStyle w:val="TextBody"/>
        <w:bidi w:val="0"/>
        <w:spacing w:lineRule="auto" w:line="276" w:before="180" w:after="180"/>
        <w:ind w:left="0" w:right="0" w:firstLine="450"/>
        <w:jc w:val="left"/>
        <w:rPr/>
      </w:pPr>
      <w:r>
        <w:rPr>
          <w:rFonts w:ascii="Times New Roman;serif" w:hAnsi="Times New Roman;serif"/>
          <w:b w:val="false"/>
          <w:i/>
          <w:color w:val="000000"/>
          <w:sz w:val="20"/>
        </w:rPr>
        <w:t>Level 3</w:t>
      </w:r>
      <w:r>
        <w:rPr>
          <w:rFonts w:ascii="Times New Roman;serif" w:hAnsi="Times New Roman;serif"/>
          <w:b w:val="false"/>
          <w:color w:val="000000"/>
          <w:sz w:val="20"/>
        </w:rPr>
        <w:t>:    Pricing inputs include significant inputs that are generally less observable from objective sources, including the Company’s own assumptions.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fair value hierarchy classification on a quarterly basis. Changes in the observability of valuation inputs may result in a reclassification of levels for certain securities within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64"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Comprehensive loss consists of two components: net loss and other comprehensive loss. Other comprehensive loss refers to losses that are recorded as an element of stockholders’ deficit and are excluded from net loss. The Company’s other comprehensive loss is currently composed of foreign currency translation adjustments.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 public entity should apply the amendments in ASU 2023-09 prospectively to all annual periods beginning after December 15, 2024. The Company adopted this ASU in the current year with additional disclosures detailed in the subsequent notes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Not Yet Adopted </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This ASU requires disclosure on an annual and interim basis, in the notes to the financial statements, of disaggregated information about specific categories underlying certain income statement expense line items. The guidance is effective for annual periods beginning after December 15, 2026, and interim periods with annual reporting periods beginning after December 15, 2027, on a retrospective basis. The Company is currently evaluating the impact of this standard on our consolidated financial statements and related disclosures.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In November 2024, the FASB issued ASU 2024-04,</w:t>
      </w:r>
      <w:r>
        <w:rPr>
          <w:color w:val="000000"/>
        </w:rPr>
        <w:t xml:space="preserve"> </w:t>
      </w:r>
      <w:r>
        <w:rPr>
          <w:rFonts w:ascii="Times New Roman;serif" w:hAnsi="Times New Roman;serif"/>
          <w:b w:val="false"/>
          <w:i/>
          <w:color w:val="000000"/>
          <w:sz w:val="20"/>
        </w:rPr>
        <w:t>Debt—Debt with Conversion and Other Options (Subtopic 470-20)</w:t>
      </w:r>
      <w:r>
        <w:rPr>
          <w:rFonts w:ascii="Times New Roman;serif" w:hAnsi="Times New Roman;serif"/>
          <w:b w:val="false"/>
          <w:color w:val="000000"/>
          <w:sz w:val="20"/>
        </w:rPr>
        <w:t>. This ASU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impact of this standard on our consolidated financial statements and related disclosures.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July 2025, the Financial Accounting Standards Board (“FASB”) issued Accounting Standard Update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ASU 2025-05 provides a practical expedient related to the estimation of expected credit losses for current accounts receivable and current contract assets that arise from transactions accounted for under Accounting Standards Codification </w:t>
      </w:r>
      <w:r>
        <w:rPr>
          <w:rFonts w:ascii="Times New Roman;serif" w:hAnsi="Times New Roman;serif"/>
          <w:b w:val="false"/>
          <w:i/>
          <w:color w:val="000000"/>
          <w:sz w:val="20"/>
        </w:rPr>
        <w:t>Topic 606: Revenue from Contracts with Customers</w:t>
      </w:r>
      <w:r>
        <w:rPr>
          <w:rFonts w:ascii="Times New Roman;serif" w:hAnsi="Times New Roman;serif"/>
          <w:b w:val="false"/>
          <w:color w:val="000000"/>
          <w:sz w:val="20"/>
        </w:rPr>
        <w:t>. The practical expedient permits an entity to assume that current conditions as of the balance sheet date do not change for the remaining life of the current accounts receivable and current contract assets. This ASU is effective for fiscal years beginning after December 15, 2025 on a prospective basis, and for interim periods within fiscal years beginning after December 15, 2025, with early adoption permitted. The Company is currently evaluating the impact of the adoption of this pronouncement on its consolidated financial statements.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 xml:space="preserve">ASU 2025-06 updates the recognition and capitalization framework to reflect current software 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February 28, 2029. Early adoption is permitted as of the beginning of an annual reporting period. The Company is currently evaluating the impact of adopting this ASU on its consolidated financial statements and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65"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2. Held for Sale and Discontinued Operations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Note 1 – Nature of Business and Significant Accounting Policies</w:t>
      </w:r>
      <w:r>
        <w:rPr>
          <w:rFonts w:ascii="Times New Roman;serif" w:hAnsi="Times New Roman;serif"/>
          <w:b w:val="false"/>
          <w:color w:val="000000"/>
          <w:sz w:val="20"/>
        </w:rPr>
        <w:t xml:space="preserve">, on </w:t>
      </w:r>
      <w:r>
        <w:rPr>
          <w:rFonts w:ascii="Times New Roman;serif" w:hAnsi="Times New Roman;serif"/>
          <w:b w:val="false"/>
          <w:color w:val="000000"/>
          <w:sz w:val="20"/>
          <w:shd w:fill="FFFFFF" w:val="clear"/>
        </w:rPr>
        <w:t>September 16, 2024</w:t>
      </w:r>
      <w:r>
        <w:rPr>
          <w:rFonts w:ascii="Times New Roman;serif" w:hAnsi="Times New Roman;serif"/>
          <w:b w:val="false"/>
          <w:color w:val="000000"/>
          <w:sz w:val="20"/>
        </w:rPr>
        <w:t xml:space="preserve">, the Company entered into the </w:t>
      </w:r>
      <w:r>
        <w:rPr>
          <w:rFonts w:ascii="Times New Roman;serif" w:hAnsi="Times New Roman;serif"/>
          <w:b w:val="false"/>
          <w:color w:val="000000"/>
          <w:sz w:val="20"/>
          <w:shd w:fill="FFFFFF" w:val="clear"/>
        </w:rPr>
        <w:t>Purchase Agreement</w:t>
      </w:r>
      <w:r>
        <w:rPr>
          <w:color w:val="000000"/>
        </w:rPr>
        <w:t xml:space="preserve"> </w:t>
      </w:r>
      <w:r>
        <w:rPr>
          <w:rFonts w:ascii="Times New Roman;serif" w:hAnsi="Times New Roman;serif"/>
          <w:b w:val="false"/>
          <w:color w:val="000000"/>
          <w:sz w:val="20"/>
        </w:rPr>
        <w:t>to sell its Telematics Business. On November 27, 2024, the Company completed the sale of its Telematics Business for an adjusted purchase price of $52.7 million and recognized a pre-tax gain on the sale of $18.5 million that was recognized in Income from discontinued operations, net of tax within the Consolidated Statements of Operations and Comprehensive Income.</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discontinued operations only reflect revenues and expenses that are directly attributable to the Telematics Business. The following table summarizes Income from discontinued operations, net of tax included in the Consolidated Statements of Operations and Comprehensive Income for the years ended December 31, 2025 and 2024 (in thousands):</w:t>
      </w:r>
    </w:p>
    <w:tbl>
      <w:tblPr>
        <w:tblW w:w="6338" w:type="dxa"/>
        <w:jc w:val="left"/>
        <w:tblInd w:w="0" w:type="dxa"/>
        <w:tblLayout w:type="fixed"/>
        <w:tblCellMar>
          <w:top w:w="28" w:type="dxa"/>
          <w:left w:w="28" w:type="dxa"/>
          <w:bottom w:w="28" w:type="dxa"/>
          <w:right w:w="28" w:type="dxa"/>
        </w:tblCellMar>
      </w:tblPr>
      <w:tblGrid>
        <w:gridCol w:w="1524"/>
        <w:gridCol w:w="1342"/>
        <w:gridCol w:w="1348"/>
        <w:gridCol w:w="196"/>
        <w:gridCol w:w="496"/>
        <w:gridCol w:w="109"/>
        <w:gridCol w:w="109"/>
        <w:gridCol w:w="109"/>
        <w:gridCol w:w="109"/>
        <w:gridCol w:w="196"/>
        <w:gridCol w:w="64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services and other cost of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from discontinued operations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 and expenses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from discontinued operations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on sale of discontinued operation</w:t>
            </w:r>
            <w:r>
              <w:rPr>
                <w:rFonts w:ascii="Times New Roman;serif" w:hAnsi="Times New Roman;serif"/>
                <w:b w:val="false"/>
                <w:color w:val="000000"/>
                <w:sz w:val="12"/>
              </w:rPr>
              <w:t>(a)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before income taxes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40"/>
        <w:jc w:val="left"/>
        <w:rPr>
          <w:rFonts w:ascii="Times New Roman;serif" w:hAnsi="Times New Roman;serif"/>
          <w:b w:val="false"/>
          <w:color w:val="000000"/>
          <w:sz w:val="16"/>
        </w:rPr>
      </w:pPr>
      <w:r>
        <w:rPr>
          <w:rFonts w:ascii="Times New Roman;serif" w:hAnsi="Times New Roman;serif"/>
          <w:b w:val="false"/>
          <w:color w:val="000000"/>
          <w:sz w:val="16"/>
        </w:rPr>
        <w:t>(a) The gain on sale realized in fiscal 2024 includes the release of Accumulated other comprehensive income of $6.1 million associated with the realization of cumulative translation gains attributed to the Telematics Business</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taxes related to discontinued operations in the year ended December 31, 2025 relate to the deregistration process for the Company’s remaining subsidiaries in South Africa, which do not have operations. As the sale of the Telematics Business was completed on November 27, 2024, there were no assets or liabilities held for sale as of either December 31, 2025 or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66"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3. Financial Statement Details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509" w:type="dxa"/>
        <w:jc w:val="left"/>
        <w:tblInd w:w="0" w:type="dxa"/>
        <w:tblLayout w:type="fixed"/>
        <w:tblCellMar>
          <w:top w:w="28" w:type="dxa"/>
          <w:left w:w="28" w:type="dxa"/>
          <w:bottom w:w="28" w:type="dxa"/>
          <w:right w:w="28" w:type="dxa"/>
        </w:tblCellMar>
      </w:tblPr>
      <w:tblGrid>
        <w:gridCol w:w="841"/>
        <w:gridCol w:w="739"/>
        <w:gridCol w:w="745"/>
        <w:gridCol w:w="196"/>
        <w:gridCol w:w="556"/>
        <w:gridCol w:w="109"/>
        <w:gridCol w:w="109"/>
        <w:gridCol w:w="109"/>
        <w:gridCol w:w="109"/>
        <w:gridCol w:w="196"/>
        <w:gridCol w:w="64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components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Prepaid expenses and other</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consists of the following (in thousands):</w:t>
      </w:r>
    </w:p>
    <w:tbl>
      <w:tblPr>
        <w:tblW w:w="5093" w:type="dxa"/>
        <w:jc w:val="left"/>
        <w:tblInd w:w="0" w:type="dxa"/>
        <w:tblLayout w:type="fixed"/>
        <w:tblCellMar>
          <w:top w:w="28" w:type="dxa"/>
          <w:left w:w="28" w:type="dxa"/>
          <w:bottom w:w="28" w:type="dxa"/>
          <w:right w:w="28" w:type="dxa"/>
        </w:tblCellMar>
      </w:tblPr>
      <w:tblGrid>
        <w:gridCol w:w="1085"/>
        <w:gridCol w:w="956"/>
        <w:gridCol w:w="958"/>
        <w:gridCol w:w="196"/>
        <w:gridCol w:w="556"/>
        <w:gridCol w:w="109"/>
        <w:gridCol w:w="109"/>
        <w:gridCol w:w="109"/>
        <w:gridCol w:w="109"/>
        <w:gridCol w:w="196"/>
        <w:gridCol w:w="55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Rebate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contract manufacturers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prepaid expenses and other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consists of the following (in thousands):</w:t>
      </w:r>
    </w:p>
    <w:tbl>
      <w:tblPr>
        <w:tblW w:w="6135" w:type="dxa"/>
        <w:jc w:val="left"/>
        <w:tblInd w:w="0" w:type="dxa"/>
        <w:tblLayout w:type="fixed"/>
        <w:tblCellMar>
          <w:top w:w="28" w:type="dxa"/>
          <w:left w:w="28" w:type="dxa"/>
          <w:bottom w:w="28" w:type="dxa"/>
          <w:right w:w="28" w:type="dxa"/>
        </w:tblCellMar>
      </w:tblPr>
      <w:tblGrid>
        <w:gridCol w:w="1308"/>
        <w:gridCol w:w="1149"/>
        <w:gridCol w:w="1157"/>
        <w:gridCol w:w="196"/>
        <w:gridCol w:w="646"/>
        <w:gridCol w:w="109"/>
        <w:gridCol w:w="109"/>
        <w:gridCol w:w="109"/>
        <w:gridCol w:w="109"/>
        <w:gridCol w:w="196"/>
        <w:gridCol w:w="646"/>
        <w:gridCol w:w="401"/>
      </w:tblGrid>
      <w:tr>
        <w:trPr/>
        <w:tc>
          <w:tcPr>
            <w:tcW w:w="130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Test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purchased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tooling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gross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29,999 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67"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plant and equipment was $0.7 million and $1.4 million for the years ended December 31, 2025 and 2024, respectively.</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Accrued expenses and other current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 (in thousands):</w:t>
      </w:r>
    </w:p>
    <w:tbl>
      <w:tblPr>
        <w:tblW w:w="5949" w:type="dxa"/>
        <w:jc w:val="left"/>
        <w:tblInd w:w="0" w:type="dxa"/>
        <w:tblLayout w:type="fixed"/>
        <w:tblCellMar>
          <w:top w:w="28" w:type="dxa"/>
          <w:left w:w="28" w:type="dxa"/>
          <w:bottom w:w="28" w:type="dxa"/>
          <w:right w:w="28" w:type="dxa"/>
        </w:tblCellMar>
      </w:tblPr>
      <w:tblGrid>
        <w:gridCol w:w="1332"/>
        <w:gridCol w:w="1169"/>
        <w:gridCol w:w="1174"/>
        <w:gridCol w:w="196"/>
        <w:gridCol w:w="646"/>
        <w:gridCol w:w="109"/>
        <w:gridCol w:w="109"/>
        <w:gridCol w:w="109"/>
        <w:gridCol w:w="109"/>
        <w:gridCol w:w="196"/>
        <w:gridCol w:w="64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contract manufacturing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Other long-term liabilities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(in thousands):</w:t>
      </w:r>
    </w:p>
    <w:tbl>
      <w:tblPr>
        <w:tblW w:w="4389" w:type="dxa"/>
        <w:jc w:val="left"/>
        <w:tblInd w:w="0" w:type="dxa"/>
        <w:tblLayout w:type="fixed"/>
        <w:tblCellMar>
          <w:top w:w="28" w:type="dxa"/>
          <w:left w:w="28" w:type="dxa"/>
          <w:bottom w:w="28" w:type="dxa"/>
          <w:right w:w="28" w:type="dxa"/>
        </w:tblCellMar>
      </w:tblPr>
      <w:tblGrid>
        <w:gridCol w:w="830"/>
        <w:gridCol w:w="730"/>
        <w:gridCol w:w="735"/>
        <w:gridCol w:w="196"/>
        <w:gridCol w:w="556"/>
        <w:gridCol w:w="109"/>
        <w:gridCol w:w="109"/>
        <w:gridCol w:w="109"/>
        <w:gridCol w:w="109"/>
        <w:gridCol w:w="196"/>
        <w:gridCol w:w="556"/>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of the $4.6 million long-term deferred revenue balance, $4.0 million relates to performance obligations expected to be satisfied between one and two years, and $0.6 million relates to performance obligations expected to be satisfied between two and three years from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4. Goodwill and Other Intangible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had a goodwill balance of $3.9 million at both December 31, 2025 and 2024.</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are comprised of the following (in thousands):</w:t>
      </w:r>
    </w:p>
    <w:tbl>
      <w:tblPr>
        <w:tblW w:w="9900" w:type="dxa"/>
        <w:jc w:val="left"/>
        <w:tblInd w:w="0" w:type="dxa"/>
        <w:tblLayout w:type="fixed"/>
        <w:tblCellMar>
          <w:top w:w="28" w:type="dxa"/>
          <w:left w:w="28" w:type="dxa"/>
          <w:bottom w:w="28" w:type="dxa"/>
          <w:right w:w="28" w:type="dxa"/>
        </w:tblCellMar>
      </w:tblPr>
      <w:tblGrid>
        <w:gridCol w:w="1325"/>
        <w:gridCol w:w="1164"/>
        <w:gridCol w:w="1171"/>
        <w:gridCol w:w="109"/>
        <w:gridCol w:w="109"/>
        <w:gridCol w:w="352"/>
        <w:gridCol w:w="1162"/>
        <w:gridCol w:w="196"/>
        <w:gridCol w:w="109"/>
        <w:gridCol w:w="109"/>
        <w:gridCol w:w="109"/>
        <w:gridCol w:w="419"/>
        <w:gridCol w:w="1415"/>
        <w:gridCol w:w="235"/>
        <w:gridCol w:w="109"/>
        <w:gridCol w:w="109"/>
        <w:gridCol w:w="109"/>
        <w:gridCol w:w="313"/>
        <w:gridCol w:w="1031"/>
        <w:gridCol w:w="245"/>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(32,336)</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18,755 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In-process 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68"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9900" w:type="dxa"/>
        <w:jc w:val="left"/>
        <w:tblInd w:w="0" w:type="dxa"/>
        <w:tblLayout w:type="fixed"/>
        <w:tblCellMar>
          <w:top w:w="28" w:type="dxa"/>
          <w:left w:w="28" w:type="dxa"/>
          <w:bottom w:w="28" w:type="dxa"/>
          <w:right w:w="28" w:type="dxa"/>
        </w:tblCellMar>
      </w:tblPr>
      <w:tblGrid>
        <w:gridCol w:w="1325"/>
        <w:gridCol w:w="1164"/>
        <w:gridCol w:w="1171"/>
        <w:gridCol w:w="109"/>
        <w:gridCol w:w="109"/>
        <w:gridCol w:w="352"/>
        <w:gridCol w:w="1162"/>
        <w:gridCol w:w="196"/>
        <w:gridCol w:w="109"/>
        <w:gridCol w:w="109"/>
        <w:gridCol w:w="109"/>
        <w:gridCol w:w="419"/>
        <w:gridCol w:w="1415"/>
        <w:gridCol w:w="235"/>
        <w:gridCol w:w="109"/>
        <w:gridCol w:w="109"/>
        <w:gridCol w:w="109"/>
        <w:gridCol w:w="313"/>
        <w:gridCol w:w="1031"/>
        <w:gridCol w:w="245"/>
      </w:tblGrid>
      <w:tr>
        <w:trPr/>
        <w:tc>
          <w:tcPr>
            <w:tcW w:w="13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(33,558)</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In-process capitalized software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years ended December 31, 2025 and 2024 was approximately $7.8 million and $11.1 million, respectively, including approximately $7.2 million and $9.6 million related to capitalized software development costs for the years ended December 31, 2025 and 2024, respectively.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recorded $0.4 million and $0.9 million, respectively, of impairment losses on intangible assets related to capitalized software.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details of the amortization of finite-lived intangible assets that is estimated to be expensed in the future (in thousands): </w:t>
      </w:r>
    </w:p>
    <w:tbl>
      <w:tblPr>
        <w:tblW w:w="1837" w:type="dxa"/>
        <w:jc w:val="left"/>
        <w:tblInd w:w="0" w:type="dxa"/>
        <w:tblLayout w:type="fixed"/>
        <w:tblCellMar>
          <w:top w:w="28" w:type="dxa"/>
          <w:left w:w="28" w:type="dxa"/>
          <w:bottom w:w="28" w:type="dxa"/>
          <w:right w:w="28" w:type="dxa"/>
        </w:tblCellMar>
      </w:tblPr>
      <w:tblGrid>
        <w:gridCol w:w="304"/>
        <w:gridCol w:w="267"/>
        <w:gridCol w:w="270"/>
        <w:gridCol w:w="196"/>
        <w:gridCol w:w="64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69"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the financial assets and liabilities measured on a recurring basis and indicates the fair value hierarchy utilized to determine such fair value (in thousands):</w:t>
      </w:r>
    </w:p>
    <w:tbl>
      <w:tblPr>
        <w:tblW w:w="5646" w:type="dxa"/>
        <w:jc w:val="left"/>
        <w:tblInd w:w="0" w:type="dxa"/>
        <w:tblLayout w:type="fixed"/>
        <w:tblCellMar>
          <w:top w:w="28" w:type="dxa"/>
          <w:left w:w="28" w:type="dxa"/>
          <w:bottom w:w="28" w:type="dxa"/>
          <w:right w:w="28" w:type="dxa"/>
        </w:tblCellMar>
      </w:tblPr>
      <w:tblGrid>
        <w:gridCol w:w="607"/>
        <w:gridCol w:w="533"/>
        <w:gridCol w:w="539"/>
        <w:gridCol w:w="323"/>
        <w:gridCol w:w="323"/>
        <w:gridCol w:w="166"/>
        <w:gridCol w:w="109"/>
        <w:gridCol w:w="109"/>
        <w:gridCol w:w="109"/>
        <w:gridCol w:w="323"/>
        <w:gridCol w:w="323"/>
        <w:gridCol w:w="211"/>
        <w:gridCol w:w="109"/>
        <w:gridCol w:w="109"/>
        <w:gridCol w:w="109"/>
        <w:gridCol w:w="210"/>
        <w:gridCol w:w="210"/>
        <w:gridCol w:w="211"/>
        <w:gridCol w:w="109"/>
        <w:gridCol w:w="109"/>
        <w:gridCol w:w="109"/>
        <w:gridCol w:w="203"/>
        <w:gridCol w:w="203"/>
        <w:gridCol w:w="280"/>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equivalents</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 transfers between levels occurred during the years ended December 31, 2025 or December 31, 2024.</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also had an interest make-whole payment derivative liability on its 2025 Convertible Notes (as defined in </w:t>
      </w:r>
      <w:r>
        <w:rPr>
          <w:rFonts w:ascii="Times New Roman;serif" w:hAnsi="Times New Roman;serif"/>
          <w:b w:val="false"/>
          <w:i/>
          <w:color w:val="000000"/>
          <w:sz w:val="20"/>
        </w:rPr>
        <w:t>Note 6 – Debt</w:t>
      </w:r>
      <w:r>
        <w:rPr>
          <w:rFonts w:ascii="Times New Roman;serif" w:hAnsi="Times New Roman;serif"/>
          <w:b w:val="false"/>
          <w:color w:val="000000"/>
          <w:sz w:val="20"/>
        </w:rPr>
        <w:t>) that was measured at fair value on a recurring basis prior to the maturity and full repayment of the 2025 Convertible Notes on May 1, 2025. The fair value of that liability was zero as of December 31, 2024. The interest make-whole payment derivative liability was a Level 3 instrument and was valued using a Monte Carlo model.</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December 31, 2024, there were no conversions of the 2025 Convertible Notes into shares of the Company’s common stock. There were also no changes in the fair value of the interest make-whole liability during the years ended December 31, 2025 or December 31, 2024.</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carrying values of the Company’s other financial assets and liabilities approximate their fair values because of their short-term nature, with the exception of the 2029 Senior Secured Notes (as defined in </w:t>
      </w:r>
      <w:r>
        <w:rPr>
          <w:rFonts w:ascii="Times New Roman;serif" w:hAnsi="Times New Roman;serif"/>
          <w:b w:val="false"/>
          <w:i/>
          <w:color w:val="000000"/>
          <w:sz w:val="20"/>
        </w:rPr>
        <w:t>Note 6 – Debt</w:t>
      </w:r>
      <w:r>
        <w:rPr>
          <w:rFonts w:ascii="Times New Roman;serif" w:hAnsi="Times New Roman;serif"/>
          <w:b w:val="false"/>
          <w:color w:val="000000"/>
          <w:sz w:val="20"/>
        </w:rPr>
        <w:t>) and 2025 Convertible Notes. The 2029 Senior Secured Notes and 2025 Convertible Notes are carried at amortized cost, with the 2025 Convertible notes being adjusted for changes in fair value of the embedded interest make-whole payment derivative.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detailed in Note 6 – Debt below, the 2029 Senior Secured Notes were initially recorded upon issuance on November 6, 2024 at fair value. The fair value of the 2029 Senior Secured Notes was determined based on a discounted cash flow model, which represents a Level 3 measurement. The fair value was estimated using probability-weighted scenarios which include assumptions that are highly subjective and required judgment regarding significant matters, such as the timing of redemption, amount and timing of future cash flows and an adjusted market yield of 8.35%. The use of different assumptions could have a material effect on the fair value estimates.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Also detailed below in Note 6 – Debt, the Short-Term Loan (defined below) was initially recorded upon issuance on June 28, 2024 at an amount equal to the allocated gross proceeds of the loan based on the relative fair values of the Short-Term Loan and the Short-Term Loan Warrants (defined below) issued in connection with the loan. The fair value of the Short-Term Loan used to allocate the gross proceeds was determined using a discounted cash flow model based on assumptions such as the amount and timing of the future cash flows and an estimated market yield of 27.57%, which represents a Level 3 measurement.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the year ended December 31, 2024, the Company issued common stock warrants, including the Short-Term Loan Warrants, in connection with various debt restructuring arrangements, as discussed further in Note 6 – Debt. The warrants expire four years from their respective dates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were issued with exercise prices ranging from $11.03 to $15.77. The warrants had a total grant date fair value of $30.8 million and were exercisable at issuance.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common stock warrants were initially valued using a Black-Scholes option-pricing model, which represents a Level 3 measurement. The following table provides weighted-average quantitative information, based on the relative number of warrants issued, regarding inputs used in the Black-Scholes option-pricing model to determine the fair value of the warrants at their respective issuance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0"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4147" w:type="dxa"/>
        <w:jc w:val="left"/>
        <w:tblInd w:w="0" w:type="dxa"/>
        <w:tblLayout w:type="fixed"/>
        <w:tblCellMar>
          <w:top w:w="28" w:type="dxa"/>
          <w:left w:w="28" w:type="dxa"/>
          <w:bottom w:w="28" w:type="dxa"/>
          <w:right w:w="28" w:type="dxa"/>
        </w:tblCellMar>
      </w:tblPr>
      <w:tblGrid>
        <w:gridCol w:w="685"/>
        <w:gridCol w:w="600"/>
        <w:gridCol w:w="605"/>
        <w:gridCol w:w="457"/>
        <w:gridCol w:w="457"/>
        <w:gridCol w:w="1080"/>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w:t>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6. Debt</w:t>
      </w:r>
    </w:p>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Working Capital Facility</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December 31, 2025.</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pStyle w:val="TextBody"/>
        <w:bidi w:val="0"/>
        <w:spacing w:lineRule="auto" w:line="26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which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Swap Contracts with a termination value (determined in accordance with the terms of the Working Capital Facility Agreement) in excess of $1.0 million, as set forth in the Working Capital Facility Agreement.</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 </w:t>
      </w:r>
    </w:p>
    <w:p>
      <w:pPr>
        <w:pStyle w:val="TextBody"/>
        <w:bidi w:val="0"/>
        <w:spacing w:lineRule="auto" w:line="26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outstanding borrowings and availability to borrow under the Working Capital Facility was $14.5 million.</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2029 Senior Secured Notes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connection with the 2025 Convertible Note exchange executed on November 6, 2024, as detailed further below in </w:t>
      </w:r>
      <w:r>
        <w:rPr>
          <w:rFonts w:ascii="Times New Roman;serif" w:hAnsi="Times New Roman;serif"/>
          <w:b w:val="false"/>
          <w:i/>
          <w:color w:val="000000"/>
          <w:sz w:val="20"/>
        </w:rPr>
        <w:t>Repurchases and Exchanges of 2025 Convertible Notes</w:t>
      </w:r>
      <w:r>
        <w:rPr>
          <w:rFonts w:ascii="Times New Roman;serif" w:hAnsi="Times New Roman;serif"/>
          <w:b w:val="false"/>
          <w:color w:val="000000"/>
          <w:sz w:val="20"/>
        </w:rPr>
        <w:t>,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1"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Company incurred $1.7 million of issuance costs for the 2029 Senior Secured Notes, $0.7 million of which was allocated to debt issuance costs and recorded as a direct reduction of the carrying amount of the 2029 Senior Secured Notes, $0.6 million of which was allocated to the common stock and $0.4 million of which was allocated to the warrants issued to the holders of the 2029 Senior Secured Notes and recorded within additional paid-in capital on the Consolidated Balance Sheets. These warrants are further detailed below in the 2025 Convertible Notes section and within </w:t>
      </w:r>
      <w:r>
        <w:rPr>
          <w:rFonts w:ascii="Times New Roman;serif" w:hAnsi="Times New Roman;serif"/>
          <w:b w:val="false"/>
          <w:i/>
          <w:color w:val="000000"/>
          <w:sz w:val="20"/>
        </w:rPr>
        <w:t>Note 8 – Stockholders' Equity (Deficit)</w:t>
      </w:r>
      <w:r>
        <w:rPr>
          <w:rFonts w:ascii="Times New Roman;serif" w:hAnsi="Times New Roman;serif"/>
          <w:b w:val="false"/>
          <w:color w:val="000000"/>
          <w:sz w:val="20"/>
        </w:rPr>
        <w:t>.</w:t>
      </w:r>
    </w:p>
    <w:p>
      <w:pPr>
        <w:pStyle w:val="TextBody"/>
        <w:bidi w:val="0"/>
        <w:spacing w:lineRule="auto" w:line="276" w:before="180" w:after="180"/>
        <w:ind w:left="0" w:right="0" w:firstLine="450"/>
        <w:jc w:val="left"/>
        <w:rPr/>
      </w:pPr>
      <w:r>
        <w:rPr>
          <w:rFonts w:ascii="Times New Roman;serif" w:hAnsi="Times New Roman;serif"/>
          <w:b w:val="false"/>
          <w:color w:val="000000"/>
          <w:sz w:val="20"/>
        </w:rPr>
        <w:t>The 2029 Senior Secured Notes were initially recorded at fair value, with all direct issuance costs being recorded as a direct reduction of the net carrying amount of the loan, resulting in an initial debt premium over the principal amount of the loan of $1.7 million that will be amortized to interest expense over the term of the loan. As of December 31, 2025, $40.9 million</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principal of the 2029 Senior Secured Notes was outstanding, $31.8 million of which was held by related parties.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2029 Senior Secured Notes, net consists of the following (in thousands):</w:t>
      </w:r>
    </w:p>
    <w:tbl>
      <w:tblPr>
        <w:tblW w:w="4734" w:type="dxa"/>
        <w:jc w:val="left"/>
        <w:tblInd w:w="0" w:type="dxa"/>
        <w:tblLayout w:type="fixed"/>
        <w:tblCellMar>
          <w:top w:w="28" w:type="dxa"/>
          <w:left w:w="28" w:type="dxa"/>
          <w:bottom w:w="28" w:type="dxa"/>
          <w:right w:w="28" w:type="dxa"/>
        </w:tblCellMar>
      </w:tblPr>
      <w:tblGrid>
        <w:gridCol w:w="891"/>
        <w:gridCol w:w="782"/>
        <w:gridCol w:w="787"/>
        <w:gridCol w:w="196"/>
        <w:gridCol w:w="646"/>
        <w:gridCol w:w="109"/>
        <w:gridCol w:w="109"/>
        <w:gridCol w:w="109"/>
        <w:gridCol w:w="109"/>
        <w:gridCol w:w="196"/>
        <w:gridCol w:w="64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gross amount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unamortized debt premium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Company issued $8.0 million in additional principal of the Company’s existing 2029 Senior Secured Notes in connection with the exchange of its outstanding preferred stock. See Note 14 – Subsequent Events below for further details.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2025 Convertible Notes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2020, the Company completed both a registered public offering and a privately negotiated exchange agreement that resulted in the issuance of 3.25% convertible senior notes due in 2025 (the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2025 Convertible Notes matured on May 1, 2025. The 2025 Convertible Notes were senior unsecured obligations of the Company and bore interest at an annual rate of 3.25%, which was payable semi-annually in arrears on May 1 and November 1 of each year.</w:t>
      </w:r>
    </w:p>
    <w:p>
      <w:pPr>
        <w:pStyle w:val="TextBody"/>
        <w:bidi w:val="0"/>
        <w:spacing w:lineRule="auto" w:line="276"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Repurchases and Exchanges of 2025 Convertible Notes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2024, $14.9 million of principal amount of the 2025 Convertible Notes was outstanding, none of which was held by related parties. The remaining 2025 Convertible Notes matured on May 1, 2025, at which time all outstanding principal of $14.9 million and related accrued interest was repaid.</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a result of these restructurings, the Company recorded a net loss on extinguishment of debt of $2.9 million within loss on debt restructurings, net in the Consolidated Statement of Operations and Comprehensive Income for the year ended December 31, 2024. For more information on the terms of the warrants issued as a part of these restructuring agreements, please see </w:t>
      </w:r>
      <w:r>
        <w:rPr>
          <w:rFonts w:ascii="Times New Roman;serif" w:hAnsi="Times New Roman;serif"/>
          <w:b w:val="false"/>
          <w:i/>
          <w:color w:val="000000"/>
          <w:sz w:val="20"/>
        </w:rPr>
        <w:t>Note 8 – Stockholders' Equity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2"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2025 Convertible Notes as of December 31, 2024 consisted of the following (in thousands):</w:t>
      </w:r>
    </w:p>
    <w:tbl>
      <w:tblPr>
        <w:tblW w:w="3600" w:type="dxa"/>
        <w:jc w:val="left"/>
        <w:tblInd w:w="0" w:type="dxa"/>
        <w:tblLayout w:type="fixed"/>
        <w:tblCellMar>
          <w:top w:w="28" w:type="dxa"/>
          <w:left w:w="28" w:type="dxa"/>
          <w:bottom w:w="28" w:type="dxa"/>
          <w:right w:w="28" w:type="dxa"/>
        </w:tblCellMar>
      </w:tblPr>
      <w:tblGrid>
        <w:gridCol w:w="891"/>
        <w:gridCol w:w="783"/>
        <w:gridCol w:w="786"/>
        <w:gridCol w:w="224"/>
        <w:gridCol w:w="740"/>
        <w:gridCol w:w="176"/>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unamortized debt discount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both"/>
        <w:rPr>
          <w:rFonts w:ascii="Times New Roman;serif" w:hAnsi="Times New Roman;serif"/>
          <w:b/>
          <w:i/>
          <w:color w:val="000000"/>
          <w:sz w:val="20"/>
        </w:rPr>
      </w:pPr>
      <w:r>
        <w:rPr>
          <w:rFonts w:ascii="Times New Roman;serif" w:hAnsi="Times New Roman;serif"/>
          <w:b/>
          <w:i/>
          <w:color w:val="000000"/>
          <w:sz w:val="20"/>
        </w:rPr>
        <w:t>Short-Term Loan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28, 2024, the Company entered into a Loan and Security Agreement (the “Short-Term Loan Agreement”), among South Ocean, as lender (“Lender”), the Participating Lenders (described below), the Company, as borrower, and two of the Company’s wholly-owned subsidiaries, Inseego Wireless, Inc. and Inseego North America LLC as guarantors (collectively, the “Guarantors,” and together with the Company, the “Loan Parties”). The Loan Agreement established a loan (the “Short-Term Loan”) with an original principal amount of $19.5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Short-Term Loan was originally scheduled to mature on September 30, 2024 but maturity was subsequently extended to November 30, 2024. Borrowings under the Short-Term Loan accrued interest at 12.0% per annum. Upon any repayment or prepayment of the amounts borrowed under the Short-Term Loan (including at maturity), the Company was required to pay an exit fee equal to 4.0% of the aggregate principal amount prepaid or repaid.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Also on June 28, 2024, as part of the Short-Term Loan Agreement, the Participating Lenders contributed an aggregate of $3.0 million of participation interests in the Short-Term Loan Agreement (the “Participation Interests”). The Participating Lenders consist of Philip Brace, the Company’s former Executive Chairman, who acquired a $1.0 million Participation Interest, and North Sound Ventures, LP, which acquired a $2.0 million Participation Interest in the Short-Term Loan. As of the date hereof, affiliates of each of the Lender and North Sound Ventures, LP may be deemed to beneficially own more than 5% of the Company’s outstanding Common Stock. James B. Avery, a member of the Company’s Board of Directors, currently serves as Senior Managing Director of Tavistock Group, an affiliate of the Lender. Accordingly, the Lender and the Participating Lenders are considered related parties of the Company.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entering into the Short-Term Loan Agreement, the Company paid an arrangement and administration fee of $0.2 million to the Lender (the “Short-Term Loan Costs”). Additionally in connection with the Short-Term Loan Agreement, the Company issued to the Lender and the Participating Lenders warrants (the “Short-Term Loan Warrants”) to purchase an aggregate of 550,000 shares of the Company’s common stock, par value $0.001 per share (“Common Stock”). See Note 8 – Stockholders' Equity (Deficit) for further details regarding the Short-Term Loan Warrants.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gross proceeds received under the Short-Term Loan Agreement, along with the Short-Term Loan Costs, were allocated between the Short-Term Loan and the Short-Term Loan Warrants based on their relative fair values at issuance. The debt discount originally recorded as a result of the allocation of the net proceeds between the Short-Term Loan and the Short-Term Loan Warrants of $3.3 million was fully amortized to interest expense during the year ended December 31, 2024.</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After multiple voluntary prepayments, the remaining entire principal balance was repaid in full on November 30, 2024.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Prior Credit Facility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5,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 indirect subsidiary of the Company, as borrowers (together with Inseego Wireless, the “Borrowers”), and the Company, as guarantor (together with the Borrowers, the “Loan Parties”).</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The Credit Agreement established a secured asset-backed revolving credit facility which is comprised of a maximum $50 million revolving credit facility (“Prior Credit Facility”), with a minimum </w:t>
      </w:r>
      <w:r>
        <w:rPr>
          <w:rFonts w:ascii="Times New Roman;serif" w:hAnsi="Times New Roman;serif"/>
          <w:b w:val="false"/>
          <w:color w:val="000000"/>
          <w:sz w:val="20"/>
          <w:shd w:fill="FFFFFF" w:val="clear"/>
        </w:rPr>
        <w:t>borrowing amount for interest calculations</w:t>
      </w:r>
      <w:r>
        <w:rPr>
          <w:color w:val="000000"/>
        </w:rPr>
        <w:t xml:space="preserve"> </w:t>
      </w:r>
      <w:r>
        <w:rPr>
          <w:rFonts w:ascii="Times New Roman;serif" w:hAnsi="Times New Roman;serif"/>
          <w:b w:val="false"/>
          <w:color w:val="000000"/>
          <w:sz w:val="20"/>
        </w:rPr>
        <w:t xml:space="preserve">of $4.5 million upon execution of the Credit Agreement. Availability under the Prior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Prior Credit Facility Parties’ obligations under the Credit Agreement were secured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3"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continuing security interest in all property of each Prior Credit Facility Party, subject to certain Excluded Collateral (as defined in the Credit Agreement).</w:t>
      </w:r>
    </w:p>
    <w:p>
      <w:pPr>
        <w:pStyle w:val="TextBody"/>
        <w:bidi w:val="0"/>
        <w:spacing w:lineRule="auto" w:line="276" w:before="180" w:after="180"/>
        <w:ind w:left="0" w:right="0" w:firstLine="450"/>
        <w:jc w:val="left"/>
        <w:rPr/>
      </w:pPr>
      <w:r>
        <w:rPr>
          <w:rFonts w:ascii="Times New Roman;serif" w:hAnsi="Times New Roman;serif"/>
          <w:b w:val="false"/>
          <w:color w:val="000000"/>
          <w:sz w:val="20"/>
        </w:rPr>
        <w:t>On May 2, 2023, (1) two related parties, South Ocean Funding, LLC and North Sound Ventures, LP (collectively, the “Prior Credit Facility Participants”) collectively purchased a</w:t>
      </w:r>
      <w:r>
        <w:rPr>
          <w:color w:val="000000"/>
          <w:shd w:fill="FFFFFF" w:val="clear"/>
        </w:rPr>
        <w:t xml:space="preserve"> </w:t>
      </w:r>
      <w:r>
        <w:rPr>
          <w:rFonts w:ascii="Times New Roman;serif" w:hAnsi="Times New Roman;serif"/>
          <w:b w:val="false"/>
          <w:color w:val="000000"/>
          <w:sz w:val="20"/>
          <w:shd w:fill="FFFFFF" w:val="clear"/>
        </w:rPr>
        <w:t xml:space="preserve">$4.0 million </w:t>
      </w:r>
      <w:r>
        <w:rPr>
          <w:rFonts w:ascii="Times New Roman;serif" w:hAnsi="Times New Roman;serif"/>
          <w:b w:val="false"/>
          <w:color w:val="000000"/>
          <w:sz w:val="20"/>
        </w:rPr>
        <w:t>last-out subordinated participation interest in the Credit Agreement (the “Prior Credit Facility Participation Interest”) from the Lender, and (2) the Borrowers entered into an amendment to the Credit Agreement which increased the borrowing base under the Prior Credit Facility by</w:t>
      </w:r>
      <w:r>
        <w:rPr>
          <w:color w:val="000000"/>
          <w:shd w:fill="FFFFFF" w:val="clear"/>
        </w:rPr>
        <w:t xml:space="preserve"> </w:t>
      </w:r>
      <w:r>
        <w:rPr>
          <w:rFonts w:ascii="Times New Roman;serif" w:hAnsi="Times New Roman;serif"/>
          <w:b w:val="false"/>
          <w:color w:val="000000"/>
          <w:sz w:val="20"/>
          <w:shd w:fill="FFFFFF" w:val="clear"/>
        </w:rPr>
        <w:t>$4.0 million, increased the minimum borrowing amount for interest calculations to $8.5 million, a</w:t>
      </w:r>
      <w:r>
        <w:rPr>
          <w:rFonts w:ascii="Times New Roman;serif" w:hAnsi="Times New Roman;serif"/>
          <w:b w:val="false"/>
          <w:color w:val="000000"/>
          <w:sz w:val="20"/>
        </w:rPr>
        <w:t>nd modified certain covenants. In connection with the purchase of the Prior Credit Facility Participation Interest, we agreed to pay the Prior Credit Facility Participants an aggregate exit fee (the “Exit Fee”) ranging from</w:t>
      </w:r>
      <w:r>
        <w:rPr>
          <w:color w:val="000000"/>
          <w:shd w:fill="FFFFFF" w:val="clear"/>
        </w:rPr>
        <w:t xml:space="preserve"> </w:t>
      </w:r>
      <w:r>
        <w:rPr>
          <w:rFonts w:ascii="Times New Roman;serif" w:hAnsi="Times New Roman;serif"/>
          <w:b w:val="false"/>
          <w:color w:val="000000"/>
          <w:sz w:val="20"/>
          <w:shd w:fill="FFFFFF" w:val="clear"/>
        </w:rPr>
        <w:t xml:space="preserve">7.5% to 12.5% </w:t>
      </w:r>
      <w:r>
        <w:rPr>
          <w:rFonts w:ascii="Times New Roman;serif" w:hAnsi="Times New Roman;serif"/>
          <w:b w:val="false"/>
          <w:color w:val="000000"/>
          <w:sz w:val="20"/>
        </w:rPr>
        <w:t>of the amount of the Prior Credit Facility Participation Interest, payable upon the earlier to occur of (a) the maturity date of the Prior Credit Facility, (b) termination of the Lender’s commitment to make revolving loans prior to the scheduled maturity date of the Prior Credit Facility, and (c) the early redemption of the Prior Credit Facility Participation Interest, as applicable. Further, the purchase of the Prior Credit Facility Participation Interest granted an option for the Prior Credit Facility Participants to purchase the subject revolving loan or to redeem its Prior Credit Facility Participation Interest under certain circumstances. The Prior Credit Facility Participants are each affiliates of beneficial holders of greater than five percent of our outstanding common stock.</w:t>
      </w:r>
    </w:p>
    <w:p>
      <w:pPr>
        <w:pStyle w:val="TextBody"/>
        <w:bidi w:val="0"/>
        <w:spacing w:lineRule="auto" w:line="276" w:before="180" w:after="180"/>
        <w:ind w:left="0" w:right="0" w:firstLine="450"/>
        <w:jc w:val="left"/>
        <w:rPr/>
      </w:pPr>
      <w:r>
        <w:rPr>
          <w:rFonts w:ascii="Times New Roman;serif" w:hAnsi="Times New Roman;serif"/>
          <w:b w:val="false"/>
          <w:color w:val="000000"/>
          <w:sz w:val="20"/>
        </w:rPr>
        <w:t>Effective April 18, 2024, the Company exercised its right to voluntarily pay-off and terminate the Prior Credit Facility. As a result of the termination, the Company paid the outstanding balance and related termination fees on the Prior Credit Facility of approximately $3.0 million. The Company also paid the Exit Fee in the aggregate amount of $0.4 million to the Prior Credit Facility Participants.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As a result of the voluntary pay-off, the Company recorded a loss on extinguishment of debt of $0.8 million within loss on extinguishment of revolving credit facility on the</w:t>
      </w:r>
      <w:r>
        <w:rPr>
          <w:color w:val="000000"/>
          <w:shd w:fill="FFFFFF" w:val="clear"/>
        </w:rPr>
        <w:t xml:space="preserve"> </w:t>
      </w:r>
      <w:r>
        <w:rPr>
          <w:rFonts w:ascii="Times New Roman;serif" w:hAnsi="Times New Roman;serif"/>
          <w:b w:val="false"/>
          <w:color w:val="000000"/>
          <w:sz w:val="20"/>
          <w:shd w:fill="FFFFFF" w:val="clear"/>
        </w:rPr>
        <w:t>Consolidated Statements of Operations and Comprehensive Income</w:t>
      </w:r>
      <w:r>
        <w:rPr>
          <w:color w:val="000000"/>
        </w:rPr>
        <w:t xml:space="preserve"> </w:t>
      </w:r>
      <w:r>
        <w:rPr>
          <w:rFonts w:ascii="Times New Roman;serif" w:hAnsi="Times New Roman;serif"/>
          <w:b w:val="false"/>
          <w:color w:val="000000"/>
          <w:sz w:val="20"/>
        </w:rPr>
        <w:t>during the year ended December 31, 2024</w:t>
      </w:r>
      <w:r>
        <w:rPr>
          <w:rFonts w:ascii="Times New Roman;serif" w:hAnsi="Times New Roman;serif"/>
          <w:b w:val="false"/>
          <w:color w:val="000000"/>
          <w:sz w:val="20"/>
          <w:shd w:fill="FFFFFF" w:val="clear"/>
        </w:rPr>
        <w:t>.</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Interest Expense Summary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annualized effective interest rate, and interest expense related to related parties, if applicable, for each of the debt instruments detailed above (in thousands, except for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74"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5094" w:type="dxa"/>
        <w:jc w:val="left"/>
        <w:tblInd w:w="0" w:type="dxa"/>
        <w:tblLayout w:type="fixed"/>
        <w:tblCellMar>
          <w:top w:w="28" w:type="dxa"/>
          <w:left w:w="28" w:type="dxa"/>
          <w:bottom w:w="28" w:type="dxa"/>
          <w:right w:w="28" w:type="dxa"/>
        </w:tblCellMar>
      </w:tblPr>
      <w:tblGrid>
        <w:gridCol w:w="1052"/>
        <w:gridCol w:w="925"/>
        <w:gridCol w:w="933"/>
        <w:gridCol w:w="196"/>
        <w:gridCol w:w="556"/>
        <w:gridCol w:w="109"/>
        <w:gridCol w:w="109"/>
        <w:gridCol w:w="109"/>
        <w:gridCol w:w="109"/>
        <w:gridCol w:w="196"/>
        <w:gridCol w:w="64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2029 Senior Secured Notes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Working Capital Facility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Convertible Notes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Loan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discount/premium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Prior Credit Facility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exit fee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annualized effective interest rates, including the impact of non-cash interest expense, for the 2029 Senior Secured Notes and 2025 Convertible Notes for the year ended December 31, 2025 was 8.5% and 4.1%, respectively. The annualized effective interest rates, including the impact of non-cash interest expense, for the 2029 Senior Secured Notes, 2025 Convertible Notes, Short-Term Loan, and Prior Credit Facility for the year ended December 31, 2024 was 8.5%, 4.2%, 92.7% and 36.1%,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7. Income Taxes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income (loss) before income taxes for the years ended December 31, 2025 and 2024 is comprised of the following (in thousands):</w:t>
      </w:r>
    </w:p>
    <w:tbl>
      <w:tblPr>
        <w:tblW w:w="5026" w:type="dxa"/>
        <w:jc w:val="left"/>
        <w:tblInd w:w="0" w:type="dxa"/>
        <w:tblLayout w:type="fixed"/>
        <w:tblCellMar>
          <w:top w:w="28" w:type="dxa"/>
          <w:left w:w="28" w:type="dxa"/>
          <w:bottom w:w="28" w:type="dxa"/>
          <w:right w:w="28" w:type="dxa"/>
        </w:tblCellMar>
      </w:tblPr>
      <w:tblGrid>
        <w:gridCol w:w="922"/>
        <w:gridCol w:w="810"/>
        <w:gridCol w:w="817"/>
        <w:gridCol w:w="196"/>
        <w:gridCol w:w="556"/>
        <w:gridCol w:w="109"/>
        <w:gridCol w:w="109"/>
        <w:gridCol w:w="109"/>
        <w:gridCol w:w="109"/>
        <w:gridCol w:w="196"/>
        <w:gridCol w:w="721"/>
        <w:gridCol w:w="109"/>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75"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(benefit) provision for income taxes for the years ended December 31, 2025 and 2024 is comprised of the following (in thousands):</w:t>
      </w:r>
    </w:p>
    <w:tbl>
      <w:tblPr>
        <w:tblW w:w="4955" w:type="dxa"/>
        <w:jc w:val="left"/>
        <w:tblInd w:w="0" w:type="dxa"/>
        <w:tblLayout w:type="fixed"/>
        <w:tblCellMar>
          <w:top w:w="28" w:type="dxa"/>
          <w:left w:w="28" w:type="dxa"/>
          <w:bottom w:w="28" w:type="dxa"/>
          <w:right w:w="28" w:type="dxa"/>
        </w:tblCellMar>
      </w:tblPr>
      <w:tblGrid>
        <w:gridCol w:w="976"/>
        <w:gridCol w:w="857"/>
        <w:gridCol w:w="867"/>
        <w:gridCol w:w="221"/>
        <w:gridCol w:w="459"/>
        <w:gridCol w:w="123"/>
        <w:gridCol w:w="123"/>
        <w:gridCol w:w="123"/>
        <w:gridCol w:w="123"/>
        <w:gridCol w:w="221"/>
        <w:gridCol w:w="476"/>
        <w:gridCol w:w="123"/>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net deferred tax liabilities consist of the following (in thousands):</w:t>
      </w:r>
    </w:p>
    <w:tbl>
      <w:tblPr>
        <w:tblW w:w="6356" w:type="dxa"/>
        <w:jc w:val="left"/>
        <w:tblInd w:w="0" w:type="dxa"/>
        <w:tblLayout w:type="fixed"/>
        <w:tblCellMar>
          <w:top w:w="28" w:type="dxa"/>
          <w:left w:w="28" w:type="dxa"/>
          <w:bottom w:w="28" w:type="dxa"/>
          <w:right w:w="28" w:type="dxa"/>
        </w:tblCellMar>
      </w:tblPr>
      <w:tblGrid>
        <w:gridCol w:w="1348"/>
        <w:gridCol w:w="1183"/>
        <w:gridCol w:w="1188"/>
        <w:gridCol w:w="211"/>
        <w:gridCol w:w="599"/>
        <w:gridCol w:w="109"/>
        <w:gridCol w:w="109"/>
        <w:gridCol w:w="109"/>
        <w:gridCol w:w="109"/>
        <w:gridCol w:w="211"/>
        <w:gridCol w:w="599"/>
        <w:gridCol w:w="581"/>
      </w:tblGrid>
      <w:tr>
        <w:trPr/>
        <w:tc>
          <w:tcPr>
            <w:tcW w:w="134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inventory</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4,162 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and experimental expenditures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Convertible debt </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limitation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and tax credit carryforwards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97,347 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142,829 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(141,628)</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 of valuation allowances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76"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carryback years, if carryback is permitted under the applicable tax law; (3) tax planning strategies; and (4) future taxable income exclusive of reversing temporary differences and carryforwards.</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had valuation allowances of $143.9 million and $141.6 million, respectively. The increase of $2.3 million in 2025 was primarily related to the generation of taxable net operating losses and tax credit carryforwards due to the Company’s taxable loss position. During the year ended December 31, 2024, the valuation allowance decreased by $7.9 million, primarily related to the utilization of net operating losses due to the Company’s taxable income position. Based on the Company’s current position on valuation allowance, no net income tax benefits resulted in the Company’s consolidated statements of operations from the operating losses created during those years.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(benefit) provision for income taxes reconciles to the amount computed by applying the statutory federal income tax rate of 21% in 2025 and 2024 to loss before income taxes as follows (in thousands, excluding percentages):</w:t>
      </w:r>
    </w:p>
    <w:tbl>
      <w:tblPr>
        <w:tblW w:w="8211" w:type="dxa"/>
        <w:jc w:val="left"/>
        <w:tblInd w:w="0" w:type="dxa"/>
        <w:tblLayout w:type="fixed"/>
        <w:tblCellMar>
          <w:top w:w="28" w:type="dxa"/>
          <w:left w:w="28" w:type="dxa"/>
          <w:bottom w:w="28" w:type="dxa"/>
          <w:right w:w="28" w:type="dxa"/>
        </w:tblCellMar>
      </w:tblPr>
      <w:tblGrid>
        <w:gridCol w:w="1692"/>
        <w:gridCol w:w="1491"/>
        <w:gridCol w:w="1497"/>
        <w:gridCol w:w="314"/>
        <w:gridCol w:w="316"/>
        <w:gridCol w:w="231"/>
        <w:gridCol w:w="210"/>
        <w:gridCol w:w="210"/>
        <w:gridCol w:w="210"/>
        <w:gridCol w:w="314"/>
        <w:gridCol w:w="316"/>
        <w:gridCol w:w="493"/>
        <w:gridCol w:w="109"/>
        <w:gridCol w:w="109"/>
        <w:gridCol w:w="109"/>
        <w:gridCol w:w="109"/>
        <w:gridCol w:w="109"/>
        <w:gridCol w:w="109"/>
        <w:gridCol w:w="109"/>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Post-ASU 2023-09 Adoption</w:t>
            </w:r>
          </w:p>
        </w:tc>
        <w:tc>
          <w:tcPr>
            <w:tcW w:w="917" w:type="dxa"/>
            <w:gridSpan w:val="8"/>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917" w:type="dxa"/>
            <w:gridSpan w:val="8"/>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 provision at the U.S. federal statutory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 and local income taxes, net of federal income tax effect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Statutory tax rate difference between China and the U.S. </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tax rate difference between South Africa and the U.S.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foreign jurisdictions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cross-border tax laws: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inclusion (Subpart F and GILTI) true-ups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Tax credits: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valuation allowances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officer compensation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adjustments: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deduction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prior year true-up</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expense and effective income tax rate</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77"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5579" w:type="dxa"/>
        <w:jc w:val="left"/>
        <w:tblInd w:w="0" w:type="dxa"/>
        <w:tblLayout w:type="fixed"/>
        <w:tblCellMar>
          <w:top w:w="28" w:type="dxa"/>
          <w:left w:w="28" w:type="dxa"/>
          <w:bottom w:w="28" w:type="dxa"/>
          <w:right w:w="28" w:type="dxa"/>
        </w:tblCellMar>
      </w:tblPr>
      <w:tblGrid>
        <w:gridCol w:w="1236"/>
        <w:gridCol w:w="1087"/>
        <w:gridCol w:w="1096"/>
        <w:gridCol w:w="431"/>
        <w:gridCol w:w="1390"/>
        <w:gridCol w:w="339"/>
      </w:tblGrid>
      <w:tr>
        <w:trPr/>
        <w:tc>
          <w:tcPr>
            <w:tcW w:w="123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6"/>
              </w:rPr>
            </w:pPr>
            <w:r>
              <w:rPr>
                <w:rFonts w:ascii="Times New Roman;serif" w:hAnsi="Times New Roman;serif"/>
                <w:b/>
                <w:color w:val="000000"/>
                <w:sz w:val="16"/>
              </w:rPr>
              <w:t>Pre-ASU 2023-09 Adoption</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benefit, at statutory rate</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(2,535)</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State provision, net of federal benefit</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rate difference</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inclusions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6,177 </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against future tax benefits</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(8,515)</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credits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(1,204)</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Disallowance of loss on debt exchanges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3,344 </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officers compensation</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True-up of prior year provisions</w:t>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39"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39" w:type="dxa"/>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4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3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income taxes paid (net of refunds received):</w:t>
      </w:r>
    </w:p>
    <w:tbl>
      <w:tblPr>
        <w:tblW w:w="6045" w:type="dxa"/>
        <w:jc w:val="left"/>
        <w:tblInd w:w="0" w:type="dxa"/>
        <w:tblLayout w:type="fixed"/>
        <w:tblCellMar>
          <w:top w:w="28" w:type="dxa"/>
          <w:left w:w="28" w:type="dxa"/>
          <w:bottom w:w="28" w:type="dxa"/>
          <w:right w:w="28" w:type="dxa"/>
        </w:tblCellMar>
      </w:tblPr>
      <w:tblGrid>
        <w:gridCol w:w="1292"/>
        <w:gridCol w:w="1134"/>
        <w:gridCol w:w="1144"/>
        <w:gridCol w:w="664"/>
        <w:gridCol w:w="664"/>
        <w:gridCol w:w="666"/>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state and local:</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taxes paid (net of refunds received)</w:t>
            </w:r>
          </w:p>
        </w:tc>
        <w:tc>
          <w:tcPr>
            <w:tcW w:w="13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the Company had U.S. federal net operating loss carryforwards (“NOLs”) related to tax years 2025 and 2022 and prior of approximately $374.0 million. Approximately $119.6 million of these NOLs have no expiration date. The remainder will begin to expire in 2030, unless previously utilized. Some of these NOLs may be limited by either past or future changes in control events. The Company has California NOLs at December 31, 2025 of approximately $64.8 million, which begin to expire in 2031, unless previously utilized, and no foreign NOLs for its active foreign subsidiaries. At December 31, 2025, the Company had federal research and development tax credit carryforwards, net of unrecognized tax benefits, of approximately $11.7 million, which begin to expire in 2026, unless previously utilized, and California research and development tax credit carryforwards, net of unrecognized tax benefits, of approximately $11.9 million, which have no expiration date.</w:t>
      </w:r>
    </w:p>
    <w:p>
      <w:pPr>
        <w:pStyle w:val="TextBody"/>
        <w:bidi w:val="0"/>
        <w:spacing w:lineRule="auto" w:line="276" w:before="180" w:after="180"/>
        <w:ind w:left="0" w:right="0" w:firstLine="450"/>
        <w:jc w:val="left"/>
        <w:rPr/>
      </w:pPr>
      <w:r>
        <w:rPr>
          <w:rFonts w:ascii="Times New Roman;serif" w:hAnsi="Times New Roman;serif"/>
          <w:b w:val="false"/>
          <w:color w:val="000000"/>
          <w:sz w:val="20"/>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An analysis was performed for the period through December 31, 2024 and did not identify any events of such cumulative change in ownership during the review period. There were no ownership changes filed with the Securities and Exchange Commission during 2025 and the Company does not believe there were any ownership changes that would trigger any limitations imposed by Sections 382 or 383 through December 31, 2025.</w:t>
      </w:r>
      <w:r>
        <w:rPr>
          <w:color w:val="000000"/>
        </w:rPr>
        <w:t xml:space="preserve"> </w:t>
      </w:r>
      <w:r>
        <w:rPr>
          <w:rFonts w:ascii="Times New Roman;serif" w:hAnsi="Times New Roman;serif"/>
          <w:b w:val="false"/>
          <w:color w:val="000000"/>
          <w:sz w:val="20"/>
        </w:rPr>
        <w:t>The Company will continue monitoring any future changes in stock ownership.</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It is the Company’s intention to reinvest undistributed earnings of its continuing foreign subsidiaries’ operations and thereby indefinitely postpone their remittance. Accordingly, no provision has been made for foreign withholding taxes on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78"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0"/>
        <w:jc w:val="left"/>
        <w:rPr/>
      </w:pPr>
      <w:r>
        <w:rPr>
          <w:rFonts w:ascii="Times New Roman;serif" w:hAnsi="Times New Roman;serif"/>
          <w:b w:val="false"/>
          <w:color w:val="000000"/>
          <w:sz w:val="20"/>
        </w:rPr>
        <w:t>income taxes which may become payable if undistributed earnings of the foreign subsidiary were paid as dividends to the Company. The Company has recorded an income tax of $0.4 million representing the estimated dividend withholding tax in connection with its plan to deregister its discontinued Telematics operations and remit the remaining assets to the Company.</w:t>
      </w:r>
      <w:r>
        <w:rPr>
          <w:color w:val="000000"/>
        </w:rPr>
        <w:t xml:space="preserve"> </w:t>
      </w:r>
      <w:r>
        <w:rPr>
          <w:rFonts w:ascii="Times New Roman;serif" w:hAnsi="Times New Roman;serif"/>
          <w:b w:val="false"/>
          <w:color w:val="000000"/>
          <w:sz w:val="20"/>
        </w:rPr>
        <w:t>This deregistration is expected to occur in the first half of 2026.</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2025 and 2024. At December 31, 2025 and 2024, the Company did not have interest expense related to uncertain tax positions or a liability for unrecognized tax benefits. The Company does not expect changes to its uncertain tax position in the next twelve months.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unrecognized tax benefits is as follows (in thousands):</w:t>
      </w:r>
    </w:p>
    <w:tbl>
      <w:tblPr>
        <w:tblW w:w="4985" w:type="dxa"/>
        <w:jc w:val="left"/>
        <w:tblInd w:w="0" w:type="dxa"/>
        <w:tblLayout w:type="fixed"/>
        <w:tblCellMar>
          <w:top w:w="28" w:type="dxa"/>
          <w:left w:w="28" w:type="dxa"/>
          <w:bottom w:w="28" w:type="dxa"/>
          <w:right w:w="28" w:type="dxa"/>
        </w:tblCellMar>
      </w:tblPr>
      <w:tblGrid>
        <w:gridCol w:w="1444"/>
        <w:gridCol w:w="1271"/>
        <w:gridCol w:w="1274"/>
        <w:gridCol w:w="196"/>
        <w:gridCol w:w="646"/>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current and prior year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current and prior year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no tax benefits that, if recognized, would affect the effective tax rate that are included in the balances of unrecognized tax benefits at December 31, 2025.</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2022 and 2021,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 The Company is currently under examination by the Internal Revenue Service (“IRS”) for its 2023 federal tax return. At this stage, the Company cannot reasonably estimate the ultimate outcome of the examination but do not believe any impact will have a material impact to its income tax expense.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4, 2025, Congress passed, and the President signed into law, the One Big Beautiful Bill Act (the “OBBBA”), which includes certain business tax provisions, including full deduction of domestic research and development expenditures for tax years beginning January 1, 2025, and to elect, if so desired, to expense in 2025 such expenditures that were deferred in 2022 through 2024. The OBBBA also provided changes in deductibility of executive compensation for publicly traded companies and changes in the calculation of the business interest deduction among other changes - most of which were made effective January 1, 2025. While the OBBBA did not materially affect our income tax expense in 2025, it did materially increase the Company’s 2025 tax deductible research and experimental expenses and business interest expense, which contributed to the Company incurring an estimated U.S. taxable loss in 2025 of approximately $12.4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8. Stockholders' Equity (Deficit)</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a total of 2,000,000 shares of preferred stock authorized for issuance at a par value of $0.001 per share, 150,000 of which have been designated Series D Preferred Stock and 39,500 of which have been designated Series E Preferred Stock. As of December 31, 2025, the Company had 25,000 shares of Series E preferred stock issued and outstanding.</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Series E Preferred Stock entitles the holder thereof to receive, when and if declared by the Company out of assets legally available therefor, cumulative cash dividends at an annual rate of 9.00% payable quarterly in arrears on January 1 April 1, July 1 and October 1 of each year, beginning on March 1, 2020. If dividends are not declared and paid in any quarter, or if such dividends are declared but holders of the Series E Preferred Stock elect not to receive them in cash, the quarterly dividend will be deemed to accrue and will be added to the Series E Base Amount (as defined below). The Series E Preferred Stock has no voting rights unless otherwise required by law. The Series E Preferred Stock is perpetual and has no maturity date. However, the Company may, at its option, redeem shares of the Series E Preferred Stock, in whole or in part, on or after July 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79"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2022, at a price equal to 110% of the Series E Base Amount plus (without duplication) any accrued and unpaid dividends. The “Series E Base Amount” means $1,000 per share, plus any accrued but unpaid dividends, whether or not declared by the Company’s Board of Directors, subject to appropriate adjustment in the event of any stock dividend, stock split, combination or other similar recapitalization with respect to the Series E Preferred Stock. In the event of a liquidation, dissolution or winding up of the Company, the holders of the Series E Preferred Stock will be entitled to receive, after satisfaction of liabilities to creditors and subject to the rights of holders of any senior securities, but before any distribution of assets is made to holders of common stock or any other junior securities, the Series E Base Amount plus (without duplication) any accrued and unpaid dividends. The aggregate liquidation preference of the issued and outstanding shares of Series E Preferred Stock as of December 31, 2025 was $42.0 million.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Dividends declared, but not paid, related to the Series E Preferred Stock resulted in $17.0 million and $13.4 million of dividends accrued, approximating $678.66 and $535.71 per preferred share, as of December 31, 2025 and 2024, respectively.</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In January 2026, the Company executed an exchange agreement under which all 25,000 outstanding shares of Series E preferred stock were exchanged for a combination of cash, common stock, and debt. See </w:t>
      </w:r>
      <w:r>
        <w:rPr>
          <w:rFonts w:ascii="Times New Roman;serif" w:hAnsi="Times New Roman;serif"/>
          <w:b w:val="false"/>
          <w:i/>
          <w:color w:val="000000"/>
          <w:sz w:val="20"/>
        </w:rPr>
        <w:t>Note 14 – Subsequent Events</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150,000,000 shares of $0.001 par value common stock authorized for issuance and 15,388,978 shares issued and outstanding.</w:t>
      </w:r>
    </w:p>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Note 6 – Debt</w:t>
      </w:r>
      <w:r>
        <w:rPr>
          <w:rFonts w:ascii="Times New Roman;serif" w:hAnsi="Times New Roman;serif"/>
          <w:b w:val="false"/>
          <w:color w:val="000000"/>
          <w:sz w:val="20"/>
        </w:rPr>
        <w:t xml:space="preserve">, as part of the consideration exchanged in multiple repurchases of principal amounts of the Company’s 2025 Convertible Notes, the Company issued 2.9 million shares of its common stock during the year ended December 31, 2024. These shares were recorded at their grant date fair values at a cumulative amount of </w:t>
      </w:r>
      <w:r>
        <w:rPr>
          <w:rFonts w:ascii="Times New Roman;serif" w:hAnsi="Times New Roman;serif"/>
          <w:b w:val="false"/>
          <w:color w:val="000000"/>
          <w:sz w:val="20"/>
          <w:shd w:fill="FFFFFF" w:val="clear"/>
        </w:rPr>
        <w:t>$44.9 million</w:t>
      </w:r>
      <w:r>
        <w:rPr>
          <w:color w:val="000000"/>
        </w:rPr>
        <w:t xml:space="preserve"> </w:t>
      </w:r>
      <w:r>
        <w:rPr>
          <w:rFonts w:ascii="Times New Roman;serif" w:hAnsi="Times New Roman;serif"/>
          <w:b w:val="false"/>
          <w:color w:val="000000"/>
          <w:sz w:val="20"/>
        </w:rPr>
        <w:t xml:space="preserve">to additional paid-in capital within the consolidated balance sheet. As discussed in </w:t>
      </w:r>
      <w:r>
        <w:rPr>
          <w:rFonts w:ascii="Times New Roman;serif" w:hAnsi="Times New Roman;serif"/>
          <w:b w:val="false"/>
          <w:i/>
          <w:color w:val="000000"/>
          <w:sz w:val="20"/>
        </w:rPr>
        <w:t>Note 5 – Fair Value Measurements</w:t>
      </w:r>
      <w:r>
        <w:rPr>
          <w:color w:val="000000"/>
        </w:rPr>
        <w:t xml:space="preserve"> </w:t>
      </w:r>
      <w:r>
        <w:rPr>
          <w:rFonts w:ascii="Times New Roman;serif" w:hAnsi="Times New Roman;serif"/>
          <w:b w:val="false"/>
          <w:color w:val="000000"/>
          <w:sz w:val="20"/>
        </w:rPr>
        <w:t>above, the Company also incurred issuance costs related to the 2029 Senior Secured Notes and common stock issued, $0.6 million of which was allocated to the common stock issued and recorded within additional paid-in capital within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0"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As noted in </w:t>
      </w:r>
      <w:r>
        <w:rPr>
          <w:rFonts w:ascii="Times New Roman;serif" w:hAnsi="Times New Roman;serif"/>
          <w:b w:val="false"/>
          <w:i/>
          <w:color w:val="000000"/>
          <w:sz w:val="20"/>
        </w:rPr>
        <w:t>Note 6 – Debt</w:t>
      </w:r>
      <w:r>
        <w:rPr>
          <w:rFonts w:ascii="Times New Roman;serif" w:hAnsi="Times New Roman;serif"/>
          <w:b w:val="false"/>
          <w:color w:val="000000"/>
          <w:sz w:val="20"/>
        </w:rPr>
        <w:t>, in connection with both the Short-Term Loan Agreement and the various exchange agreements entered into to repurchase principal amounts of the Company’s 2025 Convertible Notes, the Company issued warrants during the year ended December 31, 2024 to purchase an aggregate of 3.0 million shares of the Company’s common stock.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issued during the year ended December 31, 2024 are the only outstanding warrants as of December 31, 2025.</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number and exercise price of the warrants issued during the year ended December 31, 2024 are as follows:</w:t>
      </w:r>
    </w:p>
    <w:tbl>
      <w:tblPr>
        <w:tblW w:w="6683" w:type="dxa"/>
        <w:jc w:val="left"/>
        <w:tblInd w:w="0" w:type="dxa"/>
        <w:tblLayout w:type="fixed"/>
        <w:tblCellMar>
          <w:top w:w="28" w:type="dxa"/>
          <w:left w:w="28" w:type="dxa"/>
          <w:bottom w:w="28" w:type="dxa"/>
          <w:right w:w="28" w:type="dxa"/>
        </w:tblCellMar>
      </w:tblPr>
      <w:tblGrid>
        <w:gridCol w:w="528"/>
        <w:gridCol w:w="462"/>
        <w:gridCol w:w="465"/>
        <w:gridCol w:w="109"/>
        <w:gridCol w:w="109"/>
        <w:gridCol w:w="109"/>
        <w:gridCol w:w="1138"/>
        <w:gridCol w:w="1138"/>
        <w:gridCol w:w="1143"/>
        <w:gridCol w:w="109"/>
        <w:gridCol w:w="109"/>
        <w:gridCol w:w="109"/>
        <w:gridCol w:w="250"/>
        <w:gridCol w:w="709"/>
        <w:gridCol w:w="196"/>
      </w:tblGrid>
      <w:tr>
        <w:trPr/>
        <w:tc>
          <w:tcPr>
            <w:tcW w:w="52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to Purchase with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236,074 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88,534 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24,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20,646 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180,000 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1,543,363 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29,687 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3,018,304 </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proceeds from the Short-Term Loan Agreement, along with the related Short-Term Loan Costs incurred, were allocated to the Short-Term Loan Warrants and Short-Term Loan based on their relative fair values. This allocation resulted in the Short-Term Loan Warrants having a net value of $3.2 million that the Company recorded within additional paid-in capital within the Company’s consolidated balance sheets.</w:t>
      </w:r>
    </w:p>
    <w:p>
      <w:pPr>
        <w:pStyle w:val="TextBody"/>
        <w:bidi w:val="0"/>
        <w:spacing w:lineRule="auto" w:line="276" w:before="180" w:after="180"/>
        <w:ind w:left="0" w:right="0" w:firstLine="450"/>
        <w:jc w:val="both"/>
        <w:rPr/>
      </w:pPr>
      <w:r>
        <w:rPr>
          <w:rFonts w:ascii="Times New Roman;serif" w:hAnsi="Times New Roman;serif"/>
          <w:b w:val="false"/>
          <w:color w:val="000000"/>
          <w:sz w:val="20"/>
        </w:rPr>
        <w:t xml:space="preserve">The warrants issued as part of the various repurchases and exchanges of principal balances of the 2025 Convertible Notes, during the year ended December 31, 2024 were recorded at a fair value of $27.6 million within additional paid-in capital within the Company’s consolidated balance sheets. As discussed in </w:t>
      </w:r>
      <w:r>
        <w:rPr>
          <w:rFonts w:ascii="Times New Roman;serif" w:hAnsi="Times New Roman;serif"/>
          <w:b w:val="false"/>
          <w:i/>
          <w:color w:val="000000"/>
          <w:sz w:val="20"/>
        </w:rPr>
        <w:t>Note 5 – Fair Value Measurements</w:t>
      </w:r>
      <w:r>
        <w:rPr>
          <w:color w:val="000000"/>
        </w:rPr>
        <w:t xml:space="preserve"> </w:t>
      </w:r>
      <w:r>
        <w:rPr>
          <w:rFonts w:ascii="Times New Roman;serif" w:hAnsi="Times New Roman;serif"/>
          <w:b w:val="false"/>
          <w:color w:val="000000"/>
          <w:sz w:val="20"/>
        </w:rPr>
        <w:t>above, the Company also incurred issuance costs related to the 2029 Senior Secured Notes and warrants, $0.4 million of which was allocated to the warrants issued and recorded within additional paid-in capital within the Company’s consolidated balance sheets.</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holders exercised 88,534 warrants, resulting in the issuance of 88,534 shares of the Company’s common stock. The Company received aggregate cash proceeds of $1.0 million from these exercises. The weighted-average exercise price of warrants exercised during the period was $11.03 per share.</w:t>
      </w:r>
    </w:p>
    <w:p>
      <w:pPr>
        <w:pStyle w:val="TextBody"/>
        <w:bidi w:val="0"/>
        <w:spacing w:lineRule="auto" w:line="276"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warrant activity for the years ended December 31, 2025 and 2024:</w:t>
      </w:r>
    </w:p>
    <w:tbl>
      <w:tblPr>
        <w:tblW w:w="7612" w:type="dxa"/>
        <w:jc w:val="left"/>
        <w:tblInd w:w="0" w:type="dxa"/>
        <w:tblLayout w:type="fixed"/>
        <w:tblCellMar>
          <w:top w:w="28" w:type="dxa"/>
          <w:left w:w="28" w:type="dxa"/>
          <w:bottom w:w="28" w:type="dxa"/>
          <w:right w:w="28" w:type="dxa"/>
        </w:tblCellMar>
      </w:tblPr>
      <w:tblGrid>
        <w:gridCol w:w="1081"/>
        <w:gridCol w:w="949"/>
        <w:gridCol w:w="954"/>
        <w:gridCol w:w="488"/>
        <w:gridCol w:w="488"/>
        <w:gridCol w:w="311"/>
        <w:gridCol w:w="109"/>
        <w:gridCol w:w="109"/>
        <w:gridCol w:w="109"/>
        <w:gridCol w:w="647"/>
        <w:gridCol w:w="1893"/>
        <w:gridCol w:w="47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Issued during the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3,018,304 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3,018,304 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 during the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2,929,770 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9. Share-based Compensation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granted awards under the 2018 Omnibus Incentive Compensation Plan, previously named the Amended and Restated 2009 Omnibus Incentive Compensation Plan (the “2018 Plan”). The Compensation Committee of the Board of Directors administers the plans. Under the 2018 Plan, shares of common stock may be issued upon the exercise of stock options, in the form of restricted stock, or in settlement of RSUs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1"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awards, including awards with alternative vesting schedules such as performance-based criteria. The 2018 Plan authorizes 5,775,308 shares, of which 1,520,208 remain available for future grants as of December 31, 2025.</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following table presents total share-based compensation expense in each functional line item on the consolidated statements of operations (in thousands):</w:t>
      </w:r>
    </w:p>
    <w:tbl>
      <w:tblPr>
        <w:tblW w:w="5821" w:type="dxa"/>
        <w:jc w:val="left"/>
        <w:tblInd w:w="0" w:type="dxa"/>
        <w:tblLayout w:type="fixed"/>
        <w:tblCellMar>
          <w:top w:w="28" w:type="dxa"/>
          <w:left w:w="28" w:type="dxa"/>
          <w:bottom w:w="28" w:type="dxa"/>
          <w:right w:w="28" w:type="dxa"/>
        </w:tblCellMar>
      </w:tblPr>
      <w:tblGrid>
        <w:gridCol w:w="1272"/>
        <w:gridCol w:w="1116"/>
        <w:gridCol w:w="1121"/>
        <w:gridCol w:w="196"/>
        <w:gridCol w:w="556"/>
        <w:gridCol w:w="109"/>
        <w:gridCol w:w="109"/>
        <w:gridCol w:w="109"/>
        <w:gridCol w:w="109"/>
        <w:gridCol w:w="196"/>
        <w:gridCol w:w="556"/>
        <w:gridCol w:w="109"/>
        <w:gridCol w:w="109"/>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of the Board of Directors determines eligibility, vesting schedules and exercise prices for stock options granted. For performance stock awards subject to market-based vesting conditions, fair values are determined using the Monte-Carlo simulation model. Stock options generally have a term of ten years and vest over a three- to four-year period.</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weighted-average assumptions used in the Black-Scholes valuation model by the Company in calculating the fair value of each stock option granted:</w:t>
      </w:r>
    </w:p>
    <w:tbl>
      <w:tblPr>
        <w:tblW w:w="4350" w:type="dxa"/>
        <w:jc w:val="left"/>
        <w:tblInd w:w="0" w:type="dxa"/>
        <w:tblLayout w:type="fixed"/>
        <w:tblCellMar>
          <w:top w:w="28" w:type="dxa"/>
          <w:left w:w="28" w:type="dxa"/>
          <w:bottom w:w="28" w:type="dxa"/>
          <w:right w:w="28" w:type="dxa"/>
        </w:tblCellMar>
      </w:tblPr>
      <w:tblGrid>
        <w:gridCol w:w="667"/>
        <w:gridCol w:w="588"/>
        <w:gridCol w:w="590"/>
        <w:gridCol w:w="233"/>
        <w:gridCol w:w="233"/>
        <w:gridCol w:w="400"/>
        <w:gridCol w:w="170"/>
        <w:gridCol w:w="170"/>
        <w:gridCol w:w="170"/>
        <w:gridCol w:w="233"/>
        <w:gridCol w:w="233"/>
        <w:gridCol w:w="400"/>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weighted-average fair value of stock option awards granted during the years ended December 31, 2025 and 2024 was $6.99 and $5.82,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2"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 for the years ended December 31, 2025 and 2024 (dollars in thousands, except per share data):</w:t>
      </w:r>
    </w:p>
    <w:tbl>
      <w:tblPr>
        <w:tblW w:w="9870" w:type="dxa"/>
        <w:jc w:val="left"/>
        <w:tblInd w:w="0" w:type="dxa"/>
        <w:tblLayout w:type="fixed"/>
        <w:tblCellMar>
          <w:top w:w="28" w:type="dxa"/>
          <w:left w:w="28" w:type="dxa"/>
          <w:bottom w:w="28" w:type="dxa"/>
          <w:right w:w="28" w:type="dxa"/>
        </w:tblCellMar>
      </w:tblPr>
      <w:tblGrid>
        <w:gridCol w:w="1386"/>
        <w:gridCol w:w="1216"/>
        <w:gridCol w:w="1222"/>
        <w:gridCol w:w="434"/>
        <w:gridCol w:w="437"/>
        <w:gridCol w:w="336"/>
        <w:gridCol w:w="109"/>
        <w:gridCol w:w="109"/>
        <w:gridCol w:w="109"/>
        <w:gridCol w:w="334"/>
        <w:gridCol w:w="949"/>
        <w:gridCol w:w="188"/>
        <w:gridCol w:w="109"/>
        <w:gridCol w:w="109"/>
        <w:gridCol w:w="109"/>
        <w:gridCol w:w="490"/>
        <w:gridCol w:w="490"/>
        <w:gridCol w:w="491"/>
        <w:gridCol w:w="109"/>
        <w:gridCol w:w="109"/>
        <w:gridCol w:w="109"/>
        <w:gridCol w:w="198"/>
        <w:gridCol w:w="562"/>
        <w:gridCol w:w="156"/>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w:t>
              <w:br/>
              <w:t>Price Per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545,872 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(318,796)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269,851 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1,350,300 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(92,672)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1,517,039 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 December 31, 2025</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1,303,162 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December 31, 2025</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147,729 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granted stock options to their CEO in connection with his hiring 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$6.7 million and will be expensed over the four-year vesting term of the awards.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options granted to the Company’s CEO were valued using a Monte Carlo simulation model. The following table details the key assumptions utilized in the Monte Carlo simulation model used to calculate the grant-date fair value of the awards: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total intrinsic value of stock options exercised to purchase common stock during the year ended December 31, 2025 was approximately $0.1 million.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total unrecognized share-based compensation expense related to non-vested stock options was $6.6 million, which is expected to be recognized over a weighted-average period of approximately 3.16 years. The Company recognized approximately $2.2 million and $0.8 million of share-based compensation expense related to the vesting of stock option awards during the years ended December 31, 2025 and 2024, respectively.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83"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 activity under all plans for the years ended December 31, 2025 and 2024 is presented below:</w:t>
      </w:r>
    </w:p>
    <w:tbl>
      <w:tblPr>
        <w:tblW w:w="7585" w:type="dxa"/>
        <w:jc w:val="left"/>
        <w:tblInd w:w="0" w:type="dxa"/>
        <w:tblLayout w:type="fixed"/>
        <w:tblCellMar>
          <w:top w:w="28" w:type="dxa"/>
          <w:left w:w="28" w:type="dxa"/>
          <w:bottom w:w="28" w:type="dxa"/>
          <w:right w:w="28" w:type="dxa"/>
        </w:tblCellMar>
      </w:tblPr>
      <w:tblGrid>
        <w:gridCol w:w="945"/>
        <w:gridCol w:w="830"/>
        <w:gridCol w:w="834"/>
        <w:gridCol w:w="469"/>
        <w:gridCol w:w="469"/>
        <w:gridCol w:w="471"/>
        <w:gridCol w:w="109"/>
        <w:gridCol w:w="109"/>
        <w:gridCol w:w="109"/>
        <w:gridCol w:w="949"/>
        <w:gridCol w:w="949"/>
        <w:gridCol w:w="134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203,008 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1,106,862 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(164,288)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1,111,841 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1,251,978 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(390,926)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 December 31,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1,846,156 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pPr>
      <w:r>
        <w:rPr>
          <w:rFonts w:ascii="Times New Roman;serif" w:hAnsi="Times New Roman;serif"/>
          <w:b w:val="false"/>
          <w:color w:val="000000"/>
          <w:sz w:val="20"/>
        </w:rPr>
        <w:t xml:space="preserve">During the year ended December 31, 2025, the Company granted RSUs to their CEO in connection with his hiring on January 6, 2025. The Company granted the CEO 124,347 RSUs that contain a time-based vesting requirement (“Time-based CEO RSUs”) with a total grant-date fair value of $1.4 million that vest over four years. The Company also granted the CEO </w:t>
      </w:r>
      <w:r>
        <w:rPr>
          <w:rFonts w:ascii="Times New Roman;serif" w:hAnsi="Times New Roman;serif"/>
          <w:b w:val="false"/>
          <w:color w:val="000000"/>
          <w:sz w:val="20"/>
          <w:shd w:fill="FFFFFF" w:val="clear"/>
        </w:rPr>
        <w:t xml:space="preserve">RSUs that contain a market-based vesting condition in addition to a time-based vesting requirement (“Market-based CEO RSUs”). The Company granted 167,910 of these Market-based CEO RSUs with a total grant-date fair value of </w:t>
      </w:r>
      <w:r>
        <w:rPr>
          <w:rFonts w:ascii="Times New Roman;serif" w:hAnsi="Times New Roman;serif"/>
          <w:b w:val="false"/>
          <w:color w:val="000000"/>
          <w:sz w:val="20"/>
        </w:rPr>
        <w:t>$3.2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tbl>
      <w:tblPr>
        <w:tblW w:w="3330" w:type="dxa"/>
        <w:jc w:val="left"/>
        <w:tblInd w:w="0" w:type="dxa"/>
        <w:tblLayout w:type="fixed"/>
        <w:tblCellMar>
          <w:top w:w="28" w:type="dxa"/>
          <w:left w:w="28" w:type="dxa"/>
          <w:bottom w:w="28" w:type="dxa"/>
          <w:right w:w="28" w:type="dxa"/>
        </w:tblCellMar>
      </w:tblPr>
      <w:tblGrid>
        <w:gridCol w:w="707"/>
        <w:gridCol w:w="620"/>
        <w:gridCol w:w="623"/>
        <w:gridCol w:w="257"/>
        <w:gridCol w:w="729"/>
        <w:gridCol w:w="39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January 6, 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date stock price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Simulation term (years)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Correlation coefficient</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0.3741</w:t>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total fair value of shares vested was $3.7 million and $2.0 million,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$14.8 million of unrecognized share-based compensation expense related to non-vested RSUs, which is expected to be recognized over a weighted-average period of 3.06 years. The Company recognized approximately $5.0 million and $3.1 million of share-based compensation expense related to the vesting of RSUs during the years ended December 31, 2025 and 2024, respectively.</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2000 Employee Stock Purchase Plan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722,280 shares of common stock may be purchased by eligible employees, of which 429,578 remain available for future purchase as of December 31, 2025.</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issued 70,442 shares and 26,096 shares, respectively, under the ESPP. The Company recognized approximately $0.3 million and $0.1 million of share-based compensation expense related to the ESPP during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84"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10. Income (Loss) per Share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income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warrants, stock options and RSUs calculated using the treasury stock method and the 2025 Convertible Notes calculated using the if-converted method) are excluded from the diluted EPS computation in loss periods and when their effect would be anti-dilutive.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earnings per share was as follows (in thousands, except share and per share data):</w:t>
      </w:r>
    </w:p>
    <w:tbl>
      <w:tblPr>
        <w:tblW w:w="9676" w:type="dxa"/>
        <w:jc w:val="left"/>
        <w:tblInd w:w="0" w:type="dxa"/>
        <w:tblLayout w:type="fixed"/>
        <w:tblCellMar>
          <w:top w:w="28" w:type="dxa"/>
          <w:left w:w="28" w:type="dxa"/>
          <w:bottom w:w="28" w:type="dxa"/>
          <w:right w:w="28" w:type="dxa"/>
        </w:tblCellMar>
      </w:tblPr>
      <w:tblGrid>
        <w:gridCol w:w="1825"/>
        <w:gridCol w:w="1605"/>
        <w:gridCol w:w="1610"/>
        <w:gridCol w:w="212"/>
        <w:gridCol w:w="780"/>
        <w:gridCol w:w="118"/>
        <w:gridCol w:w="109"/>
        <w:gridCol w:w="109"/>
        <w:gridCol w:w="109"/>
        <w:gridCol w:w="480"/>
        <w:gridCol w:w="481"/>
        <w:gridCol w:w="396"/>
        <w:gridCol w:w="109"/>
        <w:gridCol w:w="109"/>
        <w:gridCol w:w="109"/>
        <w:gridCol w:w="333"/>
        <w:gridCol w:w="920"/>
        <w:gridCol w:w="262"/>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Income/(Loss)</w:t>
              <w:b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Per-Share Amount</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 Ended December 31, 2025</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attributable to common stockholders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15,129,030 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15,129,030 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attributable to common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15,129,030 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Year Ended December 31, 2024</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EPS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continuing operations attributable to common stockholders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12,535,756 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12,535,756 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common stockholders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12,535,756 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color w:val="000000"/>
          <w:sz w:val="16"/>
        </w:rPr>
      </w:pPr>
      <w:r>
        <w:rPr>
          <w:rFonts w:ascii="Times New Roman;serif" w:hAnsi="Times New Roman;serif"/>
          <w:b w:val="false"/>
          <w:color w:val="000000"/>
          <w:sz w:val="16"/>
        </w:rPr>
        <w:t>(*) Adjusted retroactively for reverse stock split that occurred on January 24, 2024, see Note 1</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outstanding potential shares of common stock that have been excluded from the computation of diluted net loss per share attributable to common stockholders because their inclusion would have been anti-dilutive (in thousands): </w:t>
      </w:r>
    </w:p>
    <w:tbl>
      <w:tblPr>
        <w:tblW w:w="4613" w:type="dxa"/>
        <w:jc w:val="left"/>
        <w:tblInd w:w="0" w:type="dxa"/>
        <w:tblLayout w:type="fixed"/>
        <w:tblCellMar>
          <w:top w:w="28" w:type="dxa"/>
          <w:left w:w="28" w:type="dxa"/>
          <w:bottom w:w="28" w:type="dxa"/>
          <w:right w:w="28" w:type="dxa"/>
        </w:tblCellMar>
      </w:tblPr>
      <w:tblGrid>
        <w:gridCol w:w="841"/>
        <w:gridCol w:w="739"/>
        <w:gridCol w:w="745"/>
        <w:gridCol w:w="295"/>
        <w:gridCol w:w="261"/>
        <w:gridCol w:w="216"/>
        <w:gridCol w:w="216"/>
        <w:gridCol w:w="216"/>
        <w:gridCol w:w="216"/>
        <w:gridCol w:w="285"/>
        <w:gridCol w:w="271"/>
        <w:gridCol w:w="312"/>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Convertible Notes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warrants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Non-qualified stock options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Noncancellable Purchase Obligations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typically enters into commitments with its contract manufacturers and other vendors that require future purchases of goods or services in the upcoming three to four quarters following the balance sheet date. Such commitments are noncancellable (“noncancellable purchase obligations). As of December 31, 2025, future payments under these noncancellable purchase obligations were approximately $101.2 million.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Legal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party to various legal proceedings arising in the ordinary course of business. The Company is regularly required to directly or indirectly participate in other U.S. patent infringement actions pursuant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85"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 </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Indemnification </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Note 12. Leases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the right-of-use assets and lease liabilities were as follows (in thousands):</w:t>
      </w:r>
    </w:p>
    <w:tbl>
      <w:tblPr>
        <w:tblW w:w="9710" w:type="dxa"/>
        <w:jc w:val="left"/>
        <w:tblInd w:w="0" w:type="dxa"/>
        <w:tblLayout w:type="fixed"/>
        <w:tblCellMar>
          <w:top w:w="28" w:type="dxa"/>
          <w:left w:w="28" w:type="dxa"/>
          <w:bottom w:w="28" w:type="dxa"/>
          <w:right w:w="28" w:type="dxa"/>
        </w:tblCellMar>
      </w:tblPr>
      <w:tblGrid>
        <w:gridCol w:w="1309"/>
        <w:gridCol w:w="1152"/>
        <w:gridCol w:w="1154"/>
        <w:gridCol w:w="1104"/>
        <w:gridCol w:w="1104"/>
        <w:gridCol w:w="1107"/>
        <w:gridCol w:w="213"/>
        <w:gridCol w:w="604"/>
        <w:gridCol w:w="278"/>
        <w:gridCol w:w="109"/>
        <w:gridCol w:w="109"/>
        <w:gridCol w:w="109"/>
        <w:gridCol w:w="213"/>
        <w:gridCol w:w="604"/>
        <w:gridCol w:w="278"/>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 net</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included in operating costs and expenses were as follows (in thousands):</w:t>
      </w:r>
    </w:p>
    <w:tbl>
      <w:tblPr>
        <w:tblW w:w="5664" w:type="dxa"/>
        <w:jc w:val="left"/>
        <w:tblInd w:w="0" w:type="dxa"/>
        <w:tblLayout w:type="fixed"/>
        <w:tblCellMar>
          <w:top w:w="28" w:type="dxa"/>
          <w:left w:w="28" w:type="dxa"/>
          <w:bottom w:w="28" w:type="dxa"/>
          <w:right w:w="28" w:type="dxa"/>
        </w:tblCellMar>
      </w:tblPr>
      <w:tblGrid>
        <w:gridCol w:w="1291"/>
        <w:gridCol w:w="1138"/>
        <w:gridCol w:w="1141"/>
        <w:gridCol w:w="196"/>
        <w:gridCol w:w="556"/>
        <w:gridCol w:w="109"/>
        <w:gridCol w:w="109"/>
        <w:gridCol w:w="109"/>
        <w:gridCol w:w="109"/>
        <w:gridCol w:w="196"/>
        <w:gridCol w:w="55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lease termination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operating lease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7119" w:type="dxa"/>
        <w:jc w:val="left"/>
        <w:tblInd w:w="0" w:type="dxa"/>
        <w:tblLayout w:type="fixed"/>
        <w:tblCellMar>
          <w:top w:w="28" w:type="dxa"/>
          <w:left w:w="28" w:type="dxa"/>
          <w:bottom w:w="28" w:type="dxa"/>
          <w:right w:w="28" w:type="dxa"/>
        </w:tblCellMar>
      </w:tblPr>
      <w:tblGrid>
        <w:gridCol w:w="1819"/>
        <w:gridCol w:w="1600"/>
        <w:gridCol w:w="1606"/>
        <w:gridCol w:w="196"/>
        <w:gridCol w:w="556"/>
        <w:gridCol w:w="109"/>
        <w:gridCol w:w="109"/>
        <w:gridCol w:w="109"/>
        <w:gridCol w:w="109"/>
        <w:gridCol w:w="196"/>
        <w:gridCol w:w="55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related to 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86"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future minimum payments under operating leases were as follows at December 31, 2025 (in thousands):</w:t>
      </w:r>
    </w:p>
    <w:tbl>
      <w:tblPr>
        <w:tblW w:w="4955" w:type="dxa"/>
        <w:jc w:val="left"/>
        <w:tblInd w:w="0" w:type="dxa"/>
        <w:tblLayout w:type="fixed"/>
        <w:tblCellMar>
          <w:top w:w="28" w:type="dxa"/>
          <w:left w:w="28" w:type="dxa"/>
          <w:bottom w:w="28" w:type="dxa"/>
          <w:right w:w="28" w:type="dxa"/>
        </w:tblCellMar>
      </w:tblPr>
      <w:tblGrid>
        <w:gridCol w:w="1464"/>
        <w:gridCol w:w="1285"/>
        <w:gridCol w:w="1300"/>
        <w:gridCol w:w="196"/>
        <w:gridCol w:w="556"/>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operating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net minimum operating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obligations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80"/>
        <w:jc w:val="left"/>
        <w:rPr>
          <w:rFonts w:ascii="Times New Roman;serif" w:hAnsi="Times New Roman;serif"/>
          <w:b/>
          <w:color w:val="000000"/>
          <w:sz w:val="20"/>
        </w:rPr>
      </w:pPr>
      <w:r>
        <w:rPr>
          <w:rFonts w:ascii="Times New Roman;serif" w:hAnsi="Times New Roman;serif"/>
          <w:b/>
          <w:color w:val="000000"/>
          <w:sz w:val="20"/>
        </w:rPr>
        <w:t xml:space="preserve">Note 13. Segment, Geographic, and Concentrations of Risk Information </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previously detailed in Note 1 – Nature of Business and Significant Accounting Policies, the Company operates as one reportable segment. As of December 31, 2024, the Company’s Chief Operating Decision Maker (“CODM”) was its Executive Chairman. The Company’s Executive Chairman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As such, our operations constitute a single operating segment and one reportable segment. The accounting policies of our one reportable segment are the same as those described in Note 1 – Nature of Business and Significant Accounting Policies.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revenues, significant expenses and other segment items regularly provided to the CODM: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87"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10091" w:type="dxa"/>
        <w:jc w:val="left"/>
        <w:tblInd w:w="0" w:type="dxa"/>
        <w:tblLayout w:type="fixed"/>
        <w:tblCellMar>
          <w:top w:w="28" w:type="dxa"/>
          <w:left w:w="28" w:type="dxa"/>
          <w:bottom w:w="28" w:type="dxa"/>
          <w:right w:w="28" w:type="dxa"/>
        </w:tblCellMar>
      </w:tblPr>
      <w:tblGrid>
        <w:gridCol w:w="2535"/>
        <w:gridCol w:w="2227"/>
        <w:gridCol w:w="2237"/>
        <w:gridCol w:w="247"/>
        <w:gridCol w:w="928"/>
        <w:gridCol w:w="137"/>
        <w:gridCol w:w="137"/>
        <w:gridCol w:w="137"/>
        <w:gridCol w:w="137"/>
        <w:gridCol w:w="247"/>
        <w:gridCol w:w="928"/>
        <w:gridCol w:w="194"/>
      </w:tblGrid>
      <w:tr>
        <w:trPr/>
        <w:tc>
          <w:tcPr>
            <w:tcW w:w="2535"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166,188 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191,244 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cost of revenues</w:t>
            </w:r>
            <w:r>
              <w:rPr>
                <w:color w:val="000000"/>
              </w:rPr>
              <w:t xml:space="preserve"> </w:t>
            </w:r>
            <w:r>
              <w:rPr>
                <w:rFonts w:ascii="Times New Roman;serif" w:hAnsi="Times New Roman;serif"/>
                <w:b w:val="false"/>
                <w:color w:val="000000"/>
                <w:sz w:val="12"/>
              </w:rPr>
              <w:t>(1)</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research and development</w:t>
            </w:r>
            <w:r>
              <w:rPr>
                <w:color w:val="000000"/>
              </w:rPr>
              <w:t xml:space="preserve"> </w:t>
            </w:r>
            <w:r>
              <w:rPr>
                <w:rFonts w:ascii="Times New Roman;serif" w:hAnsi="Times New Roman;serif"/>
                <w:b w:val="false"/>
                <w:color w:val="000000"/>
                <w:sz w:val="12"/>
              </w:rPr>
              <w:t>(2)</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sales and marketing</w:t>
            </w:r>
            <w:r>
              <w:rPr>
                <w:color w:val="000000"/>
              </w:rPr>
              <w:t xml:space="preserve"> </w:t>
            </w:r>
            <w:r>
              <w:rPr>
                <w:rFonts w:ascii="Times New Roman;serif" w:hAnsi="Times New Roman;serif"/>
                <w:b w:val="false"/>
                <w:color w:val="000000"/>
                <w:sz w:val="12"/>
              </w:rPr>
              <w:t>(2)</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general and administrative</w:t>
            </w:r>
            <w:r>
              <w:rPr>
                <w:color w:val="000000"/>
              </w:rPr>
              <w:t xml:space="preserve"> </w:t>
            </w:r>
            <w:r>
              <w:rPr>
                <w:rFonts w:ascii="Times New Roman;serif" w:hAnsi="Times New Roman;serif"/>
                <w:b w:val="false"/>
                <w:color w:val="000000"/>
                <w:sz w:val="12"/>
              </w:rPr>
              <w:t>(3)</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depreciation and amortization</w:t>
            </w:r>
            <w:r>
              <w:rPr>
                <w:color w:val="000000"/>
              </w:rPr>
              <w:t xml:space="preserve"> </w:t>
            </w:r>
            <w:r>
              <w:rPr>
                <w:rFonts w:ascii="Times New Roman;serif" w:hAnsi="Times New Roman;serif"/>
                <w:b w:val="false"/>
                <w:color w:val="000000"/>
                <w:sz w:val="12"/>
              </w:rPr>
              <w:t>(4)</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Capitalizable software development expenditures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expenditures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 assets related to business combinations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capitalized software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lease termination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 impairment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restructuring costs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restructurings,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revolving credit facility</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income (loss)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(14,369)</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profit or loss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 (loss)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(1) Excludes any share-based compensation expense.</w:t>
            </w:r>
          </w:p>
        </w:tc>
      </w:tr>
      <w:tr>
        <w:trPr/>
        <w:tc>
          <w:tcPr>
            <w:tcW w:w="100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(2) Excludes any depreciation and amortization or share-based compensation expense.</w:t>
            </w:r>
          </w:p>
        </w:tc>
      </w:tr>
      <w:tr>
        <w:trPr/>
        <w:tc>
          <w:tcPr>
            <w:tcW w:w="100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 Excludes any depreciation and amortization, share-based compensation expense, right-of-use asset impairments, or debt restructuring costs.</w:t>
            </w:r>
          </w:p>
        </w:tc>
      </w:tr>
      <w:tr>
        <w:trPr/>
        <w:tc>
          <w:tcPr>
            <w:tcW w:w="100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(4) Excludes amortization of purchased intangible assets.</w:t>
            </w:r>
          </w:p>
        </w:tc>
      </w:tr>
    </w:tbl>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Company’s revenues by geographic region based on shipping destination (in thousands):</w:t>
      </w:r>
    </w:p>
    <w:tbl>
      <w:tblPr>
        <w:tblW w:w="5154" w:type="dxa"/>
        <w:jc w:val="left"/>
        <w:tblInd w:w="0" w:type="dxa"/>
        <w:tblLayout w:type="fixed"/>
        <w:tblCellMar>
          <w:top w:w="28" w:type="dxa"/>
          <w:left w:w="28" w:type="dxa"/>
          <w:bottom w:w="28" w:type="dxa"/>
          <w:right w:w="28" w:type="dxa"/>
        </w:tblCellMar>
      </w:tblPr>
      <w:tblGrid>
        <w:gridCol w:w="978"/>
        <w:gridCol w:w="857"/>
        <w:gridCol w:w="865"/>
        <w:gridCol w:w="196"/>
        <w:gridCol w:w="736"/>
        <w:gridCol w:w="109"/>
        <w:gridCol w:w="109"/>
        <w:gridCol w:w="109"/>
        <w:gridCol w:w="109"/>
        <w:gridCol w:w="196"/>
        <w:gridCol w:w="73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and Canada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(including United Kingdom)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8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long-term assets are located within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88"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INSEEGO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76" w:before="180" w:after="180"/>
        <w:jc w:val="left"/>
        <w:rPr>
          <w:rFonts w:ascii="Times New Roman;serif" w:hAnsi="Times New Roman;serif"/>
          <w:b/>
          <w:i/>
          <w:color w:val="000000"/>
          <w:sz w:val="20"/>
        </w:rPr>
      </w:pPr>
      <w:r>
        <w:rPr>
          <w:rFonts w:ascii="Times New Roman;serif" w:hAnsi="Times New Roman;serif"/>
          <w:b/>
          <w:i/>
          <w:color w:val="000000"/>
          <w:sz w:val="20"/>
        </w:rPr>
        <w:t>Concentrations of Risk</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two customers accounted for 62.2% and 26.4% of revenues, respectively. For the year ended December 31, 2024, two customers accounted for 41.9% and 33.6% of revenues, respectively.</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December 31, 2025, two customers accounted for 52.9% and 16.0% of total accounts receivable, net, respectively. At December 31, 2024, three customers accounted for 33.6%, 22.8% and 18.8% of total accounts receivable, net, respectively.</w:t>
      </w:r>
    </w:p>
    <w:p>
      <w:pPr>
        <w:pStyle w:val="TextBody"/>
        <w:bidi w:val="0"/>
        <w:spacing w:lineRule="auto" w:line="276" w:before="180" w:after="18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Concentrations in the Available Sources of Supply of Materials and Product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 Subsequent Events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Preferred Stock Exchange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January 14, 2026 (the “Preferred Stock Exchange Closing Date”), the Company entered into an Exchange Agreement (the “Preferred Stock Exchange Agreement”) with an affiliate of Mubadala Capital (the “Preferred Stock Holder”), which held all 25,000 outstanding shares of the Company’s Series E Preferred Stock.</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$10.0 million in cash, one-third of which was paid on the Preferred Stock Exchange Closing Date and the balance of which will be paid in two equal installments on the six and twelve month anniversaries of the Preferred Stock Exchange Closing Date, 767,165 shares of the Company’s common stock, and $8.0 million in additional principal amount of the Company’s existing 9.0% 2029 Senior Secured Notes. The shares of common stock and 2029 Senior Secured Notes were issued to the Preferred Stock Holder on the Preferred Stock Exchange Closing Date.</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2029 Senior Secured Notes issued to the Preferred Stock Holder have the same terms as the outstanding $40.9 million aggregate principal amount of 2029 Senior Secured Notes originally issued on November 6, 2024, and were issued pursuant to the Base Indenture and Supplemental Indenture entered into on that date by the Company, certain of its subsidiaries, as guarantors, and Wilmington Savings Fund Society, FSB, as trustee and collateral agent.</w:t>
      </w:r>
    </w:p>
    <w:p>
      <w:pPr>
        <w:pStyle w:val="TextBody"/>
        <w:bidi w:val="0"/>
        <w:spacing w:lineRule="auto" w:line="276"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Preferred Stock Exchange Agreement provides the Preferred Stock Holder with customary registration rights with respect to the common stock issued, pursuant to which, among other things, the Company agreed to file a registration statement with the Securities and Exchange Commission within six months following the Preferred Stock Exchange Closing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19</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89"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19.7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center"/>
        <w:rPr/>
      </w:pPr>
      <w:r>
        <w:rPr/>
        <w:drawing>
          <wp:inline distT="0" distB="0" distL="0" distR="0">
            <wp:extent cx="1619250" cy="438150"/>
            <wp:effectExtent l="0" t="0" r="0" b="0"/>
            <wp:docPr id="9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 descr=""/>
                    <pic:cNvPicPr>
                      <a:picLocks noChangeAspect="1" noChangeArrowheads="1"/>
                    </pic:cNvPicPr>
                  </pic:nvPicPr>
                  <pic:blipFill>
                    <a:blip r:embed="rId31"/>
                    <a:stretch>
                      <a:fillRect/>
                    </a:stretch>
                  </pic:blipFill>
                  <pic:spPr bwMode="auto">
                    <a:xfrm>
                      <a:off x="0" y="0"/>
                      <a:ext cx="1619250" cy="438150"/>
                    </a:xfrm>
                    <a:prstGeom prst="rect">
                      <a:avLst/>
                    </a:prstGeom>
                  </pic:spPr>
                </pic:pic>
              </a:graphicData>
            </a:graphic>
          </wp:inline>
        </w:drawing>
      </w:r>
      <w:r>
        <w:rPr>
          <w:color w:val="000000"/>
        </w:rPr>
        <w:t>    </w:t>
      </w:r>
    </w:p>
    <w:p>
      <w:pPr>
        <w:pStyle w:val="TextBody"/>
        <w:bidi w:val="0"/>
        <w:spacing w:before="0" w:after="0"/>
        <w:jc w:val="center"/>
        <w:rPr/>
      </w:pPr>
      <w:r>
        <w:rPr/>
      </w:r>
    </w:p>
    <w:tbl>
      <w:tblPr>
        <w:tblW w:w="4710" w:type="dxa"/>
        <w:jc w:val="left"/>
        <w:tblInd w:w="0" w:type="dxa"/>
        <w:tblLayout w:type="fixed"/>
        <w:tblCellMar>
          <w:top w:w="28" w:type="dxa"/>
          <w:left w:w="28" w:type="dxa"/>
          <w:bottom w:w="28" w:type="dxa"/>
          <w:right w:w="28" w:type="dxa"/>
        </w:tblCellMar>
      </w:tblPr>
      <w:tblGrid>
        <w:gridCol w:w="1508"/>
        <w:gridCol w:w="1324"/>
        <w:gridCol w:w="1878"/>
      </w:tblGrid>
      <w:tr>
        <w:trPr/>
        <w:tc>
          <w:tcPr>
            <w:tcW w:w="150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12" w:space="0" w:color="000000"/>
              <w:left w:val="single" w:sz="12" w:space="0" w:color="000000"/>
              <w:bottom w:val="single" w:sz="12" w:space="0" w:color="000000"/>
              <w:right w:val="single" w:sz="12" w:space="0" w:color="000000"/>
            </w:tcBorders>
            <w:tcMar>
              <w:top w:w="30" w:type="dxa"/>
              <w:left w:w="48" w:type="dxa"/>
              <w:bottom w:w="30" w:type="dxa"/>
              <w:right w:w="48" w:type="dxa"/>
            </w:tcMar>
            <w:vAlign w:val="center"/>
          </w:tcPr>
          <w:p>
            <w:pPr>
              <w:pStyle w:val="TableContents"/>
              <w:bidi w:val="0"/>
              <w:spacing w:lineRule="auto" w:line="300" w:before="0" w:after="160"/>
              <w:jc w:val="center"/>
              <w:rPr>
                <w:rFonts w:ascii="Arial;sans-serif" w:hAnsi="Arial;sans-serif"/>
                <w:b/>
                <w:color w:val="000000"/>
                <w:sz w:val="44"/>
              </w:rPr>
            </w:pPr>
            <w:r>
              <w:rPr>
                <w:rFonts w:ascii="Arial;sans-serif" w:hAnsi="Arial;sans-serif"/>
                <w:b/>
                <w:color w:val="000000"/>
                <w:sz w:val="44"/>
              </w:rPr>
              <w:t>Insider Trading Policy</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USER RESPONSIBILITY</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 is the document user’s responsibility to ensure that this document is current and complete if using a printed copy. Any hardcopy may be out of date. Consult the on-line version of the document, or the on-line Master List to verify current revision level, or contact Document Control.</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REVISION HISTORY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8"/>
        <w:gridCol w:w="150"/>
        <w:gridCol w:w="229"/>
        <w:gridCol w:w="219"/>
        <w:gridCol w:w="220"/>
        <w:gridCol w:w="1721"/>
        <w:gridCol w:w="1721"/>
        <w:gridCol w:w="1726"/>
        <w:gridCol w:w="771"/>
        <w:gridCol w:w="636"/>
        <w:gridCol w:w="644"/>
        <w:gridCol w:w="540"/>
        <w:gridCol w:w="540"/>
        <w:gridCol w:w="77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12" w:space="0" w:color="000000"/>
              <w:left w:val="single" w:sz="6"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Rev</w:t>
            </w:r>
          </w:p>
        </w:tc>
        <w:tc>
          <w:tcPr>
            <w:tcW w:w="668" w:type="dxa"/>
            <w:gridSpan w:val="3"/>
            <w:tcBorders>
              <w:top w:val="single" w:sz="12" w:space="0" w:color="000000"/>
              <w:left w:val="single" w:sz="6"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Date</w:t>
            </w:r>
          </w:p>
        </w:tc>
        <w:tc>
          <w:tcPr>
            <w:tcW w:w="5168" w:type="dxa"/>
            <w:gridSpan w:val="3"/>
            <w:tcBorders>
              <w:top w:val="single" w:sz="12" w:space="0" w:color="000000"/>
              <w:left w:val="single" w:sz="6"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Brief Description of Change</w:t>
            </w:r>
          </w:p>
        </w:tc>
        <w:tc>
          <w:tcPr>
            <w:tcW w:w="2051" w:type="dxa"/>
            <w:gridSpan w:val="3"/>
            <w:tcBorders>
              <w:top w:val="single" w:sz="12" w:space="0" w:color="000000"/>
              <w:left w:val="single" w:sz="6"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Originator</w:t>
            </w:r>
          </w:p>
        </w:tc>
        <w:tc>
          <w:tcPr>
            <w:tcW w:w="1852" w:type="dxa"/>
            <w:gridSpan w:val="3"/>
            <w:tcBorders>
              <w:top w:val="single" w:sz="12" w:space="0" w:color="000000"/>
              <w:left w:val="single" w:sz="6" w:space="0" w:color="000000"/>
              <w:right w:val="single" w:sz="6"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Approved by</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1</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2/15/13</w:t>
            </w:r>
          </w:p>
        </w:tc>
        <w:tc>
          <w:tcPr>
            <w:tcW w:w="5168" w:type="dxa"/>
            <w:gridSpan w:val="3"/>
            <w:tcBorders>
              <w:top w:val="single" w:sz="12"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C.Ratcliffe, SVP &amp; General Counsel</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P. Leparulo, CEO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2</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8/28/15</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Compliance Committee, Officers and Restricted Employees updated</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Lance Bridges, SVP &amp; General Counsel</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M. Newman,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3</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2/24/16</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Exhibit A Updated</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Lance Bridges, SVP &amp; General Counsel</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M. Newman,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4</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1/13/17</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Changed company name references to Inseego Corp.</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Lance Bridges, SVP &amp; General Counsel</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5</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9/25/17</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Changed policy to reflect new legal counsel and update Exhibit A</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 VP Legal Affairs</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Steve Smith,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6</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5/9/2018</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Exhibit A Update</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 VP Legal Affairs</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Steve Smith,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7</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7/16/2018</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Exhibit A Update</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 VP Legal Affairs</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Steve Smith,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8</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8/8/2018</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Exhibit A Update</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 VP Legal Affairs</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Steve Smith, EVP &amp; CFO</w:t>
            </w:r>
          </w:p>
        </w:tc>
      </w:tr>
      <w:tr>
        <w:trPr/>
        <w:tc>
          <w:tcPr>
            <w:tcW w:w="466"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9</w:t>
            </w:r>
          </w:p>
        </w:tc>
        <w:tc>
          <w:tcPr>
            <w:tcW w:w="668"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11/6/2019</w:t>
            </w:r>
          </w:p>
        </w:tc>
        <w:tc>
          <w:tcPr>
            <w:tcW w:w="5168" w:type="dxa"/>
            <w:gridSpan w:val="3"/>
            <w:tcBorders>
              <w:top w:val="single" w:sz="12" w:space="0" w:color="000000"/>
              <w:left w:val="single" w:sz="4" w:space="0" w:color="000000"/>
            </w:tcBorders>
            <w:tcMar>
              <w:top w:w="30" w:type="dxa"/>
              <w:left w:w="47"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Exhibit A Update</w:t>
            </w:r>
          </w:p>
        </w:tc>
        <w:tc>
          <w:tcPr>
            <w:tcW w:w="2051" w:type="dxa"/>
            <w:gridSpan w:val="3"/>
            <w:tcBorders>
              <w:top w:val="single" w:sz="12" w:space="0" w:color="000000"/>
              <w:left w:val="single" w:sz="4" w:space="0" w:color="000000"/>
            </w:tcBorders>
            <w:tcMar>
              <w:top w:w="30" w:type="dxa"/>
              <w:left w:w="34"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Dennis Calderon, VP Legal Affairs</w:t>
            </w:r>
          </w:p>
        </w:tc>
        <w:tc>
          <w:tcPr>
            <w:tcW w:w="1852" w:type="dxa"/>
            <w:gridSpan w:val="3"/>
            <w:tcBorders>
              <w:top w:val="single" w:sz="12" w:space="0" w:color="000000"/>
              <w:left w:val="single" w:sz="4" w:space="0" w:color="000000"/>
              <w:right w:val="single" w:sz="4" w:space="0" w:color="000000"/>
            </w:tcBorders>
            <w:tcMar>
              <w:top w:w="30" w:type="dxa"/>
              <w:left w:w="34" w:type="dxa"/>
              <w:bottom w:w="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Steve Smith, EVP &amp; CFO</w:t>
            </w:r>
          </w:p>
        </w:tc>
      </w:tr>
      <w:tr>
        <w:trPr/>
        <w:tc>
          <w:tcPr>
            <w:tcW w:w="466" w:type="dxa"/>
            <w:gridSpan w:val="3"/>
            <w:tcBorders>
              <w:top w:val="single" w:sz="12" w:space="0" w:color="000000"/>
              <w:left w:val="single" w:sz="4" w:space="0" w:color="000000"/>
              <w:bottom w:val="single" w:sz="12" w:space="0" w:color="000000"/>
            </w:tcBorders>
            <w:tcMar>
              <w:top w:w="30" w:type="dxa"/>
              <w:left w:w="34"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10</w:t>
            </w:r>
          </w:p>
        </w:tc>
        <w:tc>
          <w:tcPr>
            <w:tcW w:w="668" w:type="dxa"/>
            <w:gridSpan w:val="3"/>
            <w:tcBorders>
              <w:top w:val="single" w:sz="12" w:space="0" w:color="000000"/>
              <w:left w:val="single" w:sz="4" w:space="0" w:color="000000"/>
              <w:bottom w:val="single" w:sz="12" w:space="0" w:color="000000"/>
            </w:tcBorders>
            <w:tcMar>
              <w:top w:w="30" w:type="dxa"/>
              <w:left w:w="34"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5/13/2020</w:t>
            </w:r>
          </w:p>
        </w:tc>
        <w:tc>
          <w:tcPr>
            <w:tcW w:w="5168" w:type="dxa"/>
            <w:gridSpan w:val="3"/>
            <w:tcBorders>
              <w:top w:val="single" w:sz="12" w:space="0" w:color="000000"/>
              <w:left w:val="single" w:sz="4" w:space="0" w:color="000000"/>
              <w:bottom w:val="single" w:sz="12" w:space="0" w:color="000000"/>
            </w:tcBorders>
            <w:tcMar>
              <w:top w:w="30" w:type="dxa"/>
              <w:left w:w="47"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Add procedure for approving 10b5-1 Plans; Compliance Officer and Compliance Committee updated; Hardship exception deleted; Exhibits A &amp; B deleted</w:t>
            </w:r>
          </w:p>
        </w:tc>
        <w:tc>
          <w:tcPr>
            <w:tcW w:w="2051" w:type="dxa"/>
            <w:gridSpan w:val="3"/>
            <w:tcBorders>
              <w:top w:val="single" w:sz="12" w:space="0" w:color="000000"/>
              <w:left w:val="single" w:sz="4" w:space="0" w:color="000000"/>
              <w:bottom w:val="single" w:sz="12" w:space="0" w:color="000000"/>
            </w:tcBorders>
            <w:tcMar>
              <w:top w:w="30" w:type="dxa"/>
              <w:left w:w="34"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Kurt Scheuerman, SVP &amp; General Counsel</w:t>
            </w:r>
          </w:p>
        </w:tc>
        <w:tc>
          <w:tcPr>
            <w:tcW w:w="1852" w:type="dxa"/>
            <w:gridSpan w:val="3"/>
            <w:tcBorders>
              <w:top w:val="single" w:sz="12" w:space="0" w:color="000000"/>
              <w:left w:val="single" w:sz="4" w:space="0" w:color="000000"/>
              <w:bottom w:val="single" w:sz="12" w:space="0" w:color="000000"/>
              <w:right w:val="single" w:sz="4" w:space="0" w:color="000000"/>
            </w:tcBorders>
            <w:tcMar>
              <w:top w:w="30" w:type="dxa"/>
              <w:left w:w="34" w:type="dxa"/>
              <w:bottom w:w="30" w:type="dxa"/>
              <w:right w:w="34" w:type="dxa"/>
            </w:tcMar>
            <w:vAlign w:val="center"/>
          </w:tcPr>
          <w:p>
            <w:pPr>
              <w:pStyle w:val="TableContents"/>
              <w:bidi w:val="0"/>
              <w:spacing w:lineRule="auto" w:line="300" w:before="0" w:after="160"/>
              <w:jc w:val="center"/>
              <w:rPr>
                <w:rFonts w:ascii="Arial;sans-serif" w:hAnsi="Arial;sans-serif"/>
                <w:b w:val="false"/>
                <w:color w:val="000000"/>
                <w:sz w:val="18"/>
              </w:rPr>
            </w:pPr>
            <w:r>
              <w:rPr>
                <w:rFonts w:ascii="Arial;sans-serif" w:hAnsi="Arial;sans-serif"/>
                <w:b w:val="false"/>
                <w:color w:val="000000"/>
                <w:sz w:val="18"/>
              </w:rPr>
              <w:t>Board of Directors</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RESTRICTED PROPRIETARY INFORMATION</w:t>
      </w:r>
    </w:p>
    <w:p>
      <w:pPr>
        <w:pStyle w:val="TextBody"/>
        <w:bidi w:val="0"/>
        <w:spacing w:before="0" w:after="0"/>
        <w:jc w:val="center"/>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 xml:space="preserve">The information disclosed herein is the exclusive property of Inseego Corp. and is not to be disclosed without the written consent of Inseego Corp. No part of this publication may be reproduced or transmitted in any form or by any means including electronic storage, reproduction, execution or transmission without the prior written consent of Inseego Corp. The </w:t>
      </w:r>
    </w:p>
    <w:p>
      <w:pPr>
        <w:pStyle w:val="TextBody"/>
        <w:bidi w:val="0"/>
        <w:spacing w:before="0" w:after="20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03655"/>
                <wp:effectExtent l="0" t="0" r="0" b="0"/>
                <wp:wrapNone/>
                <wp:docPr id="91" name="Frame90"/>
                <a:graphic xmlns:a="http://schemas.openxmlformats.org/drawingml/2006/main">
                  <a:graphicData uri="http://schemas.microsoft.com/office/word/2010/wordprocessingShape">
                    <wps:wsp>
                      <wps:cNvSpPr txBox="1"/>
                      <wps:spPr>
                        <a:xfrm>
                          <a:off x="0" y="0"/>
                          <a:ext cx="6480175" cy="1303655"/>
                        </a:xfrm>
                        <a:prstGeom prst="rect"/>
                        <a:solidFill>
                          <a:srgbClr val="FFFFFF"/>
                        </a:solidFill>
                      </wps:spPr>
                      <wps:txbx>
                        <w:txbxContent>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r>
                                    <w:br w:type="page"/>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10</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 of #NUM_PAGES#</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65pt;mso-wrap-distance-left:0pt;mso-wrap-distance-right:0pt;mso-wrap-distance-top:0pt;mso-wrap-distance-bottom:0pt;margin-top:0pt;mso-position-vertical:top;mso-position-vertical-relative:text;margin-left:0pt;mso-position-horizontal:left;mso-position-horizontal-relative:text">
                <v:textbox>
                  <w:txbxContent>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10</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 of #NUM_PAGES#</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recipient of this document, by its retention and use, agrees to respect the security status of the information contained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information contained in this document is subject to change without notice and should not be construed as a commitment by Inseego Corp. unless such commitment is expressly given in a covering document.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Copyright Inseego Corp. (2020)</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91615"/>
                <wp:effectExtent l="0" t="0" r="0" b="0"/>
                <wp:wrapNone/>
                <wp:docPr id="92" name="Frame91"/>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2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2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1. PURPOSE</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In order to comply with federal and state securities laws governing (a) trading in Inseego Corp. (“Company”) securities while in the possession of “material nonpublic information” concerning the Company, and (b) tipping or disclosing material nonpublic information to outsiders, and in order to prevent even the appearance of improper trading or tipping, the Company has adopted this policy for all of its directors, officers and employees, their immediate family members, and specially designated outsiders who have access to the Company’s material nonpublic information.</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2. SCOPE</w:t>
      </w:r>
    </w:p>
    <w:p>
      <w:pPr>
        <w:pStyle w:val="TextBody"/>
        <w:bidi w:val="0"/>
        <w:spacing w:lineRule="auto" w:line="319" w:before="0" w:after="200"/>
        <w:ind w:left="0" w:right="0" w:hanging="630"/>
        <w:jc w:val="left"/>
        <w:rPr/>
      </w:pPr>
      <w:r>
        <w:rPr>
          <w:rFonts w:ascii="Arial Narrow;sans-serif" w:hAnsi="Arial Narrow;sans-serif"/>
          <w:b w:val="false"/>
          <w:color w:val="000000"/>
          <w:sz w:val="21"/>
        </w:rPr>
        <w:t>2.1    </w:t>
      </w:r>
      <w:r>
        <w:rPr>
          <w:rFonts w:ascii="Arial Narrow;sans-serif" w:hAnsi="Arial Narrow;sans-serif"/>
          <w:b/>
          <w:color w:val="000000"/>
          <w:sz w:val="21"/>
        </w:rPr>
        <w:t>This policy covers all directors, officers, employees of the Company and its subsidiaries, their immediate family members (collectively referred to as “</w:t>
      </w:r>
      <w:r>
        <w:rPr>
          <w:rFonts w:ascii="Arial Narrow;sans-serif" w:hAnsi="Arial Narrow;sans-serif"/>
          <w:b/>
          <w:i/>
          <w:color w:val="000000"/>
          <w:sz w:val="21"/>
        </w:rPr>
        <w:t>Insiders</w:t>
      </w:r>
      <w:r>
        <w:rPr>
          <w:color w:val="000000"/>
        </w:rPr>
        <w:t>”</w:t>
      </w:r>
      <w:r>
        <w:rPr>
          <w:rFonts w:ascii="Arial Narrow;sans-serif" w:hAnsi="Arial Narrow;sans-serif"/>
          <w:b/>
          <w:color w:val="000000"/>
          <w:sz w:val="21"/>
        </w:rPr>
        <w:t>), and any consultants, service providers, independent contractors or other persons whom the Insider Trading Compliance Officer may designate as Insiders because they have access to material nonpublic information concerning the Company.</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2.2    The policy applies to any and all transactions in the Company’s securities, including its common stock and options to purchase common stock, and any other type of securities that the Company may issue.</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2.3    The policy is delivered to all directors, officers, employees and designated outsiders and to all new directors, officers, employees and designated outsiders at the start of their employment or relationship with the Company. Upon first receiving a copy of the policy or any revised versions, each Insider must sign an acknowledgment that he or she has received a copy and agrees to comply with the policy’s terms. Pre-Clearance Persons, as defined below, will be required to certify compliance with the policy on an annual basis.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2.4    Insiders are expected to comply with this policy until such time as they are no longer affiliated with the Company and no longer possess any material nonpublic information subject to this policy. In addition, if an Insider is subject to a trading blackout under this policy at the time they cease to be affiliated with the Company, they are expected to abide by the applicable trading restrictions until at least the end of the relevant blackout period.</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3. PRE-CLEARANCE PERSONS</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The following persons (“Pre-Clearance Persons”) must obtain prior written approval of all trades in Company securities from the Compliance Officer in accordance with the procedures set forth in Section 6.3 below:</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3.1    members of the Company’s board of directors;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3.2    executive officers of the Company;</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3.3    Executive Vice Presidents and Senior Vice Presidents of the Company and any other direct reports to the Chief Executive Officer;</w:t>
      </w:r>
    </w:p>
    <w:p>
      <w:pPr>
        <w:pStyle w:val="TextBody"/>
        <w:bidi w:val="0"/>
        <w:spacing w:before="0" w:after="20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91615"/>
                <wp:effectExtent l="0" t="0" r="0" b="0"/>
                <wp:wrapNone/>
                <wp:docPr id="93" name="Frame92"/>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3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3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3.4    All persons subject to the reporting provisions and trading restrictions of Section 16 of the Securities Exchange Act of 1934, as amended (the “Exchange Act”), and the underlying rules and regulations promulgated by the SEC; and</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 xml:space="preserve">3.2    All other persons designated by the Compliance Officer who, because of their access to material nonpublic information. </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4. INSIDER TRADING COMPLIANCE OFFICER AND COMPLIANCE COMMITTEE</w:t>
      </w:r>
    </w:p>
    <w:p>
      <w:pPr>
        <w:pStyle w:val="TextBody"/>
        <w:bidi w:val="0"/>
        <w:spacing w:lineRule="auto" w:line="319" w:before="0" w:after="200"/>
        <w:jc w:val="left"/>
        <w:rPr/>
      </w:pPr>
      <w:r>
        <w:rPr>
          <w:rFonts w:ascii="Arial Narrow;sans-serif" w:hAnsi="Arial Narrow;sans-serif"/>
          <w:b w:val="false"/>
          <w:color w:val="000000"/>
          <w:sz w:val="21"/>
        </w:rPr>
        <w:t>The Company has designated its General Counsel as its Insider Trading Compliance Officer (the “</w:t>
      </w:r>
      <w:r>
        <w:rPr>
          <w:rFonts w:ascii="Arial Narrow;sans-serif" w:hAnsi="Arial Narrow;sans-serif"/>
          <w:b w:val="false"/>
          <w:i/>
          <w:color w:val="000000"/>
          <w:sz w:val="21"/>
        </w:rPr>
        <w:t>Compliance Officer</w:t>
      </w:r>
      <w:r>
        <w:rPr>
          <w:color w:val="000000"/>
        </w:rPr>
        <w:t>”</w:t>
      </w:r>
      <w:r>
        <w:rPr>
          <w:rFonts w:ascii="Arial Narrow;sans-serif" w:hAnsi="Arial Narrow;sans-serif"/>
          <w:b w:val="false"/>
          <w:color w:val="000000"/>
          <w:sz w:val="21"/>
        </w:rPr>
        <w:t>). The Insider Trading Compliance Committee (the “Compliance Committee”) will consist of the Compliance Officer, Chief Financial Officer and Controller. The Compliance Officer (or, if the Compliance Officer is unavailable, a member of the Compliance Committee) will review and either approve or prohibit all proposed trades by Pre-Clearance Persons in accordance with the procedures set forth in Section 6.3 below.</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In addition to the trading approval duties described in Section 6.3 below, the duties of the Compliance Officer will include the following:</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4.1    Administering this policy and monitoring and enforcing compliance with all policy provisions and procedures.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4.2    Responding to all inquiries relating to this policy and its procedures.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4.3    Designating and announcing special trading blackout periods during which no Insiders may trade in Company securities.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4.4    Providing copies of this policy and other appropriate materials to all current and new directors, officers and employees, and such other persons whom the Compliance Officer determines have access to material nonpublic information concerning the Company.</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4.5    Administering, monitoring and enforcing compliance with all federal and state insider trading laws and regulations.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4.6    Revising the policy as necessary to reflect changes in federal and state insider trading laws and regulations.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4.7    Maintaining as Company records originals or copies of all documents required by the provisions of this policy or the procedures set forth herein.</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4.8    Maintaining an accurate list of Pre-Clearance Persons.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4.9    Providing approval of any Approved Trading Plans under Section 6.4.3 below.</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The Compliance Officer may designate one or more individuals who may perform the Compliance Officer’s duties or the duties of another member of the Compliance Committee in the event that the Compliance Officer or other Committee member is unable or unavailable to perform such duties.</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5. DEFINITION OF “MATERIAL NONPUBLIC INFORMATION”</w:t>
      </w:r>
    </w:p>
    <w:p>
      <w:pPr>
        <w:pStyle w:val="TextBody"/>
        <w:bidi w:val="0"/>
        <w:spacing w:lineRule="auto" w:line="319" w:before="0" w:after="200"/>
        <w:jc w:val="left"/>
        <w:rPr/>
      </w:pPr>
      <w:r>
        <w:rPr>
          <w:rFonts w:ascii="Arial Narrow;sans-serif" w:hAnsi="Arial Narrow;sans-serif"/>
          <w:b w:val="false"/>
          <w:color w:val="000000"/>
          <w:sz w:val="21"/>
        </w:rPr>
        <w:t>1.1</w:t>
      </w:r>
      <w:r>
        <w:rPr>
          <w:color w:val="000000"/>
        </w:rPr>
        <w:t xml:space="preserve"> “</w:t>
      </w:r>
      <w:r>
        <w:rPr>
          <w:rFonts w:ascii="Arial Narrow;sans-serif" w:hAnsi="Arial Narrow;sans-serif"/>
          <w:b w:val="false"/>
          <w:color w:val="000000"/>
          <w:sz w:val="21"/>
        </w:rPr>
        <w:t>Material” Information</w:t>
      </w:r>
    </w:p>
    <w:p>
      <w:pPr>
        <w:pStyle w:val="TextBody"/>
        <w:bidi w:val="0"/>
        <w:spacing w:before="0" w:after="20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91615"/>
                <wp:effectExtent l="0" t="0" r="0" b="0"/>
                <wp:wrapNone/>
                <wp:docPr id="94" name="Frame93"/>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4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4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Information about the Company is “material” if it would be expected to affect the investment or voting decisions of the reasonable shareholder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price of Company securities. While it is not possible to identify all information that would be deemed “material,” the following types of information ordinarily would be considered material:</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Financial performance, especially quarterly and year-end earnings, and significant changes in financial performance or liquidity.</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Company projections and strategic plans.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Potential mergers and acquisitions or the sale of Company assets or subsidiaries.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New major contracts, orders, suppliers, customers, or finance sources, or the loss thereof.</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Major discoveries or significant changes or developments in products or product lines, research or technologies.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changes or developments in supplies or inventory, including significant product defects, recalls or product returns.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pricing changes.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Stock splits, public or private securities offerings, or changes in Company dividend policies or amounts.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changes in senior management.</w:t>
      </w:r>
    </w:p>
    <w:p>
      <w:pPr>
        <w:pStyle w:val="TextBody"/>
        <w:bidi w:val="0"/>
        <w:spacing w:lineRule="auto" w:line="319" w:before="0" w:after="200"/>
        <w:ind w:left="0" w:right="0" w:hanging="360"/>
        <w:jc w:val="left"/>
        <w:rPr/>
      </w:pPr>
      <w:r>
        <w:rPr>
          <w:color w:val="000000"/>
        </w:rPr>
        <w:t>•</w:t>
      </w:r>
      <w:r>
        <w:rPr>
          <w:rFonts w:ascii="Arial Narrow;sans-serif" w:hAnsi="Arial Narrow;sans-serif"/>
          <w:b w:val="false"/>
          <w:color w:val="000000"/>
          <w:sz w:val="21"/>
        </w:rPr>
        <w:t>Actual or threatened major litigation or the resolution of such litigation.</w:t>
      </w:r>
    </w:p>
    <w:p>
      <w:pPr>
        <w:pStyle w:val="TextBody"/>
        <w:bidi w:val="0"/>
        <w:spacing w:lineRule="auto" w:line="319" w:before="0" w:after="200"/>
        <w:ind w:left="0" w:right="0" w:firstLine="360"/>
        <w:jc w:val="left"/>
        <w:rPr>
          <w:rFonts w:ascii="Arial Narrow;sans-serif" w:hAnsi="Arial Narrow;sans-serif"/>
          <w:b w:val="false"/>
          <w:color w:val="000000"/>
          <w:sz w:val="21"/>
        </w:rPr>
      </w:pPr>
      <w:r>
        <w:rPr>
          <w:rFonts w:ascii="Arial Narrow;sans-serif" w:hAnsi="Arial Narrow;sans-serif"/>
          <w:b w:val="false"/>
          <w:color w:val="000000"/>
          <w:sz w:val="21"/>
        </w:rPr>
        <w:t>5.2    “Nonpublic” Information</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Information is “nonpublic” if it has not been widely disseminated to the public through major newswire services, national news services and financial news services. For the purposes of this policy, information will be considered public, i.e., no longer “nonpublic,” after the close of trading on the second full trading day following the Company’s widespread public release of the information.</w:t>
      </w:r>
    </w:p>
    <w:p>
      <w:pPr>
        <w:pStyle w:val="TextBody"/>
        <w:bidi w:val="0"/>
        <w:spacing w:lineRule="auto" w:line="319" w:before="0" w:after="200"/>
        <w:ind w:left="0" w:right="0" w:firstLine="360"/>
        <w:jc w:val="left"/>
        <w:rPr>
          <w:rFonts w:ascii="Arial Narrow;sans-serif" w:hAnsi="Arial Narrow;sans-serif"/>
          <w:b w:val="false"/>
          <w:color w:val="000000"/>
          <w:sz w:val="21"/>
        </w:rPr>
      </w:pPr>
      <w:r>
        <w:rPr>
          <w:rFonts w:ascii="Arial Narrow;sans-serif" w:hAnsi="Arial Narrow;sans-serif"/>
          <w:b w:val="false"/>
          <w:color w:val="000000"/>
          <w:sz w:val="21"/>
        </w:rPr>
        <w:t>5.3    Consult the Compliance Officer for Guidance</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Any Insider who is unsure whether the information that they possess is material or nonpublic must consult the Compliance Officer for guidance before trading in any Company securities.</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6. STATEMENT OF COMPANY POLICY AND PROCEDURES</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6.1    Prohibited Activities</w:t>
      </w:r>
    </w:p>
    <w:p>
      <w:pPr>
        <w:pStyle w:val="TextBody"/>
        <w:bidi w:val="0"/>
        <w:spacing w:lineRule="auto" w:line="319" w:before="0" w:after="20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6.1.    No Insider may trade in Company securities while possessing material nonpublic information concerning the Company (except as discussed in the section entitled “Limited Exceptions” below).</w:t>
      </w:r>
    </w:p>
    <w:p>
      <w:pPr>
        <w:pStyle w:val="TextBody"/>
        <w:bidi w:val="0"/>
        <w:spacing w:lineRule="auto" w:line="319" w:before="0" w:after="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1.1.2No Insider may trade in Company securities outside the applicable “trading windows” described in Section 6.2 below, or during any special trading blackout periods designated by the Compliance Officer (except as discussed in the section entitled “Limited Exceptions” below).</w:t>
      </w:r>
    </w:p>
    <w:p>
      <w:pPr>
        <w:pStyle w:val="TextBody"/>
        <w:bidi w:val="0"/>
        <w:spacing w:lineRule="auto" w:line="319"/>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 xml:space="preserve">1.1.3No Preclearance Person may trade in Company securities unless the trade(s) have been approved in advance in writing by the Compliance Officer in accordance with the procedures set forth in </w:t>
      </w:r>
    </w:p>
    <w:p>
      <w:pPr>
        <w:pStyle w:val="TextBody"/>
        <w:bidi w:val="0"/>
        <w:spacing w:before="0" w:after="20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91615"/>
                <wp:effectExtent l="0" t="0" r="0" b="0"/>
                <wp:wrapNone/>
                <wp:docPr id="95" name="Frame94"/>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5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5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0"/>
        <w:jc w:val="left"/>
        <w:rPr>
          <w:rFonts w:ascii="Arial Narrow;sans-serif" w:hAnsi="Arial Narrow;sans-serif"/>
          <w:b w:val="false"/>
          <w:color w:val="000000"/>
          <w:sz w:val="21"/>
        </w:rPr>
      </w:pPr>
      <w:r>
        <w:rPr>
          <w:rFonts w:ascii="Arial Narrow;sans-serif" w:hAnsi="Arial Narrow;sans-serif"/>
          <w:b w:val="false"/>
          <w:color w:val="000000"/>
          <w:sz w:val="21"/>
        </w:rPr>
        <w:t xml:space="preserve">Section 6.3 below (except as discussed in the section entitled “Limited Exceptions” below). </w:t>
      </w:r>
    </w:p>
    <w:p>
      <w:pPr>
        <w:pStyle w:val="TextBody"/>
        <w:bidi w:val="0"/>
        <w:spacing w:lineRule="auto" w:line="319" w:before="0" w:after="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1.1.4The Compliance Officer may not trade in Company securities unless the trade(s) have been approved by another member of the Compliance Committee, in accordance with the procedures set forth in Section 6.3 below (except as discussed in the section entitled “Limited Exceptions” below).</w:t>
      </w:r>
    </w:p>
    <w:p>
      <w:pPr>
        <w:pStyle w:val="TextBody"/>
        <w:bidi w:val="0"/>
        <w:spacing w:lineRule="auto" w:line="319" w:before="0" w:after="0"/>
        <w:ind w:left="0" w:right="0" w:hanging="720"/>
        <w:jc w:val="left"/>
        <w:rPr/>
      </w:pPr>
      <w:r>
        <w:rPr>
          <w:rFonts w:ascii="Arial Narrow;sans-serif" w:hAnsi="Arial Narrow;sans-serif"/>
          <w:b w:val="false"/>
          <w:color w:val="000000"/>
          <w:sz w:val="21"/>
        </w:rPr>
        <w:t>1.1.5No Insider may “tip” or disclose material nonpublic information concerning the Company to any outside person (including family members, analysts, individual investors, and members of the investment community and news media), unless required as part of that Insider’s regular duties for the Company and authorized by the Compliance Officer. In any instance in which such information is disclosed to outsiders, the Company will take such steps as are necessary to preserve the confidentiality of the information, including</w:t>
      </w:r>
      <w:r>
        <w:rPr>
          <w:color w:val="000000"/>
        </w:rPr>
        <w:t xml:space="preserve"> </w:t>
      </w:r>
      <w:r>
        <w:rPr>
          <w:rFonts w:ascii="Arial Narrow;sans-serif" w:hAnsi="Arial Narrow;sans-serif"/>
          <w:b w:val="false"/>
          <w:color w:val="000000"/>
          <w:sz w:val="21"/>
        </w:rPr>
        <w:t>requiring the outsider to agree in writing to comply with the terms of this policy and/or to sign a confidentiality agreement. All inquiries from outsiders regarding material nonpublic information about the Company must be forwarded to the Compliance Officer.</w:t>
      </w:r>
    </w:p>
    <w:p>
      <w:pPr>
        <w:pStyle w:val="TextBody"/>
        <w:bidi w:val="0"/>
        <w:spacing w:lineRule="auto" w:line="319" w:before="0" w:after="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1.1.6No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giving trading advice concerning the Company to third parties even when the Insiders do not possess material nonpublic information about the Company.</w:t>
      </w:r>
    </w:p>
    <w:p>
      <w:pPr>
        <w:pStyle w:val="TextBody"/>
        <w:bidi w:val="0"/>
        <w:spacing w:before="0" w:after="0"/>
        <w:jc w:val="left"/>
        <w:rPr/>
      </w:pPr>
      <w:r>
        <w:rPr/>
      </w:r>
    </w:p>
    <w:p>
      <w:pPr>
        <w:pStyle w:val="TextBody"/>
        <w:bidi w:val="0"/>
        <w:spacing w:lineRule="auto" w:line="319" w:before="0" w:after="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1.1.7No Insider may trade in any interest or position relating to the future price of Company securities, such as a put, call or short sale. No Insider shall pledge Company stock.</w:t>
      </w:r>
    </w:p>
    <w:p>
      <w:pPr>
        <w:pStyle w:val="TextBody"/>
        <w:bidi w:val="0"/>
        <w:spacing w:lineRule="auto" w:line="319" w:before="0" w:after="0"/>
        <w:jc w:val="left"/>
        <w:rPr>
          <w:color w:val="000000"/>
        </w:rPr>
      </w:pPr>
      <w:r>
        <w:rPr>
          <w:color w:val="000000"/>
        </w:rPr>
        <w:t>    </w:t>
      </w:r>
    </w:p>
    <w:p>
      <w:pPr>
        <w:pStyle w:val="TextBody"/>
        <w:bidi w:val="0"/>
        <w:spacing w:lineRule="auto" w:line="319" w:before="0" w:after="200"/>
        <w:ind w:left="0" w:right="0" w:hanging="720"/>
        <w:jc w:val="left"/>
        <w:rPr>
          <w:rFonts w:ascii="Arial Narrow;sans-serif" w:hAnsi="Arial Narrow;sans-serif"/>
          <w:b w:val="false"/>
          <w:color w:val="000000"/>
          <w:sz w:val="21"/>
        </w:rPr>
      </w:pPr>
      <w:r>
        <w:rPr>
          <w:rFonts w:ascii="Arial Narrow;sans-serif" w:hAnsi="Arial Narrow;sans-serif"/>
          <w:b w:val="false"/>
          <w:color w:val="000000"/>
          <w:sz w:val="21"/>
        </w:rPr>
        <w:t>1.1.8No Insider may (a) trade in the securities of any other public company while possessing material nonpublic information concerning that company, (b) “tip” or disclose material nonpublic information concerning any other public company to anyone, or (c) give trading advice of any kind to anyone concerning any other public company while possessing material nonpublic information about that company.</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6.2    Trading Windows and Blackout Periods</w:t>
      </w:r>
    </w:p>
    <w:p>
      <w:pPr>
        <w:pStyle w:val="TextBody"/>
        <w:bidi w:val="0"/>
        <w:spacing w:lineRule="auto" w:line="319" w:before="0" w:after="200"/>
        <w:ind w:left="0" w:right="0" w:hanging="630"/>
        <w:jc w:val="left"/>
        <w:rPr/>
      </w:pPr>
      <w:r>
        <w:rPr>
          <w:rFonts w:ascii="Arial Narrow;sans-serif" w:hAnsi="Arial Narrow;sans-serif"/>
          <w:b w:val="false"/>
          <w:color w:val="000000"/>
          <w:sz w:val="21"/>
        </w:rPr>
        <w:t>6.2.1    </w:t>
      </w:r>
      <w:r>
        <w:rPr>
          <w:rFonts w:ascii="Arial Narrow;sans-serif" w:hAnsi="Arial Narrow;sans-serif"/>
          <w:b w:val="false"/>
          <w:i/>
          <w:color w:val="000000"/>
          <w:sz w:val="21"/>
        </w:rPr>
        <w:t>Trading Window for all Directors, Officers and Employees</w:t>
      </w:r>
      <w:r>
        <w:rPr>
          <w:rFonts w:ascii="Arial Narrow;sans-serif" w:hAnsi="Arial Narrow;sans-serif"/>
          <w:b w:val="false"/>
          <w:color w:val="000000"/>
          <w:sz w:val="21"/>
        </w:rPr>
        <w:t>. Except pursuant to an Approved Trading Plan (as described in Section 6.4.3 below), no Company director, officer, employee or other Insider may trade in Company securities unless the trading window is open. The trading window shall open on the 3</w:t>
      </w:r>
      <w:r>
        <w:rPr>
          <w:rFonts w:ascii="Arial Narrow;sans-serif" w:hAnsi="Arial Narrow;sans-serif"/>
          <w:b w:val="false"/>
          <w:color w:val="000000"/>
          <w:sz w:val="14"/>
        </w:rPr>
        <w:t>rd</w:t>
      </w:r>
      <w:r>
        <w:rPr>
          <w:color w:val="000000"/>
        </w:rPr>
        <w:t xml:space="preserve"> </w:t>
      </w:r>
      <w:r>
        <w:rPr>
          <w:rFonts w:ascii="Arial Narrow;sans-serif" w:hAnsi="Arial Narrow;sans-serif"/>
          <w:b w:val="false"/>
          <w:color w:val="000000"/>
          <w:sz w:val="21"/>
        </w:rPr>
        <w:t>trading day following the Company’s widespread public quarterly earnings release and close on or about the 16</w:t>
      </w:r>
      <w:r>
        <w:rPr>
          <w:rFonts w:ascii="Arial Narrow;sans-serif" w:hAnsi="Arial Narrow;sans-serif"/>
          <w:b w:val="false"/>
          <w:color w:val="000000"/>
          <w:sz w:val="14"/>
        </w:rPr>
        <w:t>th</w:t>
      </w:r>
      <w:r>
        <w:rPr>
          <w:color w:val="000000"/>
        </w:rPr>
        <w:t xml:space="preserve"> </w:t>
      </w:r>
      <w:r>
        <w:rPr>
          <w:rFonts w:ascii="Arial Narrow;sans-serif" w:hAnsi="Arial Narrow;sans-serif"/>
          <w:b w:val="false"/>
          <w:color w:val="000000"/>
          <w:sz w:val="21"/>
        </w:rPr>
        <w:t>calendar day of the last month of the Company’s fiscal quarter or on such other date as the Compliance Committee shall determine from time to time.</w:t>
      </w:r>
    </w:p>
    <w:p>
      <w:pPr>
        <w:pStyle w:val="TextBody"/>
        <w:bidi w:val="0"/>
        <w:spacing w:lineRule="auto" w:line="319" w:before="0" w:after="200"/>
        <w:ind w:left="0" w:right="0" w:hanging="630"/>
        <w:jc w:val="left"/>
        <w:rPr/>
      </w:pPr>
      <w:r>
        <w:rPr>
          <w:rFonts w:ascii="Arial Narrow;sans-serif" w:hAnsi="Arial Narrow;sans-serif"/>
          <w:b w:val="false"/>
          <w:color w:val="000000"/>
          <w:sz w:val="21"/>
        </w:rPr>
        <w:t>6.2.2    </w:t>
      </w:r>
      <w:r>
        <w:rPr>
          <w:rFonts w:ascii="Arial Narrow;sans-serif" w:hAnsi="Arial Narrow;sans-serif"/>
          <w:b w:val="false"/>
          <w:i/>
          <w:color w:val="000000"/>
          <w:sz w:val="21"/>
        </w:rPr>
        <w:t>No Trading During Trading Windows While in the Possession of Material Nonpublic Information</w:t>
      </w:r>
      <w:r>
        <w:rPr>
          <w:rFonts w:ascii="Arial Narrow;sans-serif" w:hAnsi="Arial Narrow;sans-serif"/>
          <w:b w:val="false"/>
          <w:color w:val="000000"/>
          <w:sz w:val="21"/>
        </w:rPr>
        <w:t>. Except pursuant to an Approved Trading Plan (as described in Section 6.4.3 below), no Company director, officer, employee or other Insider may trade in Company securities while possessing material nonpublic information concerning the Company even during applicable trading windows.</w:t>
      </w:r>
    </w:p>
    <w:p>
      <w:pPr>
        <w:pStyle w:val="TextBody"/>
        <w:bidi w:val="0"/>
        <w:spacing w:before="0" w:after="20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91615"/>
                <wp:effectExtent l="0" t="0" r="0" b="0"/>
                <wp:wrapNone/>
                <wp:docPr id="96" name="Frame95"/>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6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6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ind w:left="0" w:right="0" w:hanging="630"/>
        <w:jc w:val="left"/>
        <w:rPr/>
      </w:pPr>
      <w:r>
        <w:rPr>
          <w:rFonts w:ascii="Arial Narrow;sans-serif" w:hAnsi="Arial Narrow;sans-serif"/>
          <w:b w:val="false"/>
          <w:color w:val="000000"/>
          <w:sz w:val="21"/>
        </w:rPr>
        <w:t>6.2.3    </w:t>
      </w:r>
      <w:r>
        <w:rPr>
          <w:rFonts w:ascii="Arial Narrow;sans-serif" w:hAnsi="Arial Narrow;sans-serif"/>
          <w:b w:val="false"/>
          <w:i/>
          <w:color w:val="000000"/>
          <w:sz w:val="21"/>
        </w:rPr>
        <w:t>No Trading During Blackout Periods.</w:t>
      </w:r>
      <w:r>
        <w:rPr>
          <w:color w:val="000000"/>
        </w:rPr>
        <w:t xml:space="preserve"> </w:t>
      </w:r>
      <w:r>
        <w:rPr>
          <w:rFonts w:ascii="Arial Narrow;sans-serif" w:hAnsi="Arial Narrow;sans-serif"/>
          <w:b w:val="false"/>
          <w:color w:val="000000"/>
          <w:sz w:val="21"/>
        </w:rPr>
        <w:t>Except pursuant to an Approved Trading Plan (as described in Section 6.4.3 below), no Company director, officer, employee or other Insider may trade in Company securities outside the applicable trading windows or during any special blackout periods that the Compliance Officer may announce from time to time. No director, officer or employee may disclose to any outside third party that a special blackout period has been designated. 10b5-1 trading plans could also be suspended during a special blackout period.</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6.3    Procedures for Approving Trades by Pre-Clearance Persons</w:t>
      </w:r>
    </w:p>
    <w:p>
      <w:pPr>
        <w:pStyle w:val="TextBody"/>
        <w:bidi w:val="0"/>
        <w:spacing w:lineRule="auto" w:line="319" w:before="0" w:after="200"/>
        <w:ind w:left="0" w:right="0" w:hanging="630"/>
        <w:jc w:val="left"/>
        <w:rPr/>
      </w:pPr>
      <w:r>
        <w:rPr>
          <w:rFonts w:ascii="Arial Narrow;sans-serif" w:hAnsi="Arial Narrow;sans-serif"/>
          <w:b w:val="false"/>
          <w:color w:val="000000"/>
          <w:sz w:val="21"/>
        </w:rPr>
        <w:t>6.3.1    </w:t>
      </w:r>
      <w:r>
        <w:rPr>
          <w:rFonts w:ascii="Arial Narrow;sans-serif" w:hAnsi="Arial Narrow;sans-serif"/>
          <w:b w:val="false"/>
          <w:i/>
          <w:color w:val="000000"/>
          <w:sz w:val="21"/>
        </w:rPr>
        <w:t>Preclearance Person Trades.</w:t>
      </w:r>
      <w:r>
        <w:rPr>
          <w:color w:val="000000"/>
        </w:rPr>
        <w:t xml:space="preserve"> </w:t>
      </w:r>
      <w:r>
        <w:rPr>
          <w:rFonts w:ascii="Arial Narrow;sans-serif" w:hAnsi="Arial Narrow;sans-serif"/>
          <w:b w:val="false"/>
          <w:color w:val="000000"/>
          <w:sz w:val="21"/>
        </w:rPr>
        <w:t>Except pursuant to an Approved Trading Plan (as described in Section 6.4.3 below), no Preclearance Person may trade in Company securities until</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6.3.1a the person trading has notified the Compliance Officer in writing of the amount and nature of the proposed trade(s);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6.3.1b the person trading has certified to the Compliance Officer in writing that (i) he or she is not in possession of material nonpublic information concerning the Company and (ii) the proposed trade(s) do not violate the trading restrictions of Section 16 of the Exchange Act; and</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6.3.1c the Compliance Officer has approved the trade(s) in writing no more than five business days prior to the proposed trade(s).</w:t>
      </w:r>
    </w:p>
    <w:p>
      <w:pPr>
        <w:pStyle w:val="TextBody"/>
        <w:bidi w:val="0"/>
        <w:spacing w:lineRule="auto" w:line="319" w:before="0" w:after="200"/>
        <w:ind w:left="0" w:right="0" w:hanging="630"/>
        <w:jc w:val="left"/>
        <w:rPr/>
      </w:pPr>
      <w:r>
        <w:rPr>
          <w:rFonts w:ascii="Arial Narrow;sans-serif" w:hAnsi="Arial Narrow;sans-serif"/>
          <w:b w:val="false"/>
          <w:color w:val="000000"/>
          <w:sz w:val="21"/>
        </w:rPr>
        <w:t>6.3.2    </w:t>
      </w:r>
      <w:r>
        <w:rPr>
          <w:rFonts w:ascii="Arial Narrow;sans-serif" w:hAnsi="Arial Narrow;sans-serif"/>
          <w:b w:val="false"/>
          <w:i/>
          <w:color w:val="000000"/>
          <w:sz w:val="21"/>
        </w:rPr>
        <w:t>No Obligation to Approve Trades.</w:t>
      </w:r>
      <w:r>
        <w:rPr>
          <w:color w:val="000000"/>
        </w:rPr>
        <w:t xml:space="preserve"> </w:t>
      </w:r>
      <w:r>
        <w:rPr>
          <w:rFonts w:ascii="Arial Narrow;sans-serif" w:hAnsi="Arial Narrow;sans-serif"/>
          <w:b w:val="false"/>
          <w:color w:val="000000"/>
          <w:sz w:val="21"/>
        </w:rPr>
        <w:t>The existence of the foregoing approval procedures does not in any way obligate the Compliance Officer or Compliance Committee to approve any trades requested by Preclearance Persons. The Compliance Officer or Compliance Committee may reject any trading requests at their sole reasonable discretion.</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6.4    Limited Exceptions.</w:t>
      </w:r>
    </w:p>
    <w:p>
      <w:pPr>
        <w:pStyle w:val="TextBody"/>
        <w:bidi w:val="0"/>
        <w:spacing w:lineRule="auto" w:line="319" w:before="0" w:after="200"/>
        <w:ind w:left="0" w:right="0" w:hanging="630"/>
        <w:jc w:val="left"/>
        <w:rPr/>
      </w:pPr>
      <w:r>
        <w:rPr>
          <w:rFonts w:ascii="Arial Narrow;sans-serif" w:hAnsi="Arial Narrow;sans-serif"/>
          <w:b w:val="false"/>
          <w:color w:val="000000"/>
          <w:sz w:val="21"/>
        </w:rPr>
        <w:t>6.4.1    </w:t>
      </w:r>
      <w:r>
        <w:rPr>
          <w:rFonts w:ascii="Arial Narrow;sans-serif" w:hAnsi="Arial Narrow;sans-serif"/>
          <w:b w:val="false"/>
          <w:i/>
          <w:color w:val="000000"/>
          <w:sz w:val="21"/>
        </w:rPr>
        <w:t>ESPP</w:t>
      </w:r>
      <w:r>
        <w:rPr>
          <w:rFonts w:ascii="Arial Narrow;sans-serif" w:hAnsi="Arial Narrow;sans-serif"/>
          <w:b w:val="false"/>
          <w:color w:val="000000"/>
          <w:sz w:val="21"/>
        </w:rPr>
        <w:t>. The trading prohibitions and restrictions of this policy do not apply to purchases of the Company’s stock through periodic, automatic payroll contributions to the Company's Employee Stock Purchase Plan ("ESPP"). However, selling any Company stock acquired under the ESPP are subject to trading restrictions under this policy.</w:t>
      </w:r>
    </w:p>
    <w:p>
      <w:pPr>
        <w:pStyle w:val="TextBody"/>
        <w:bidi w:val="0"/>
        <w:spacing w:lineRule="auto" w:line="319" w:before="0" w:after="200"/>
        <w:ind w:left="0" w:right="0" w:hanging="630"/>
        <w:jc w:val="left"/>
        <w:rPr/>
      </w:pPr>
      <w:r>
        <w:rPr>
          <w:rFonts w:ascii="Arial Narrow;sans-serif" w:hAnsi="Arial Narrow;sans-serif"/>
          <w:b w:val="false"/>
          <w:color w:val="000000"/>
          <w:sz w:val="21"/>
        </w:rPr>
        <w:t>6.4.2    </w:t>
      </w:r>
      <w:r>
        <w:rPr>
          <w:rFonts w:ascii="Arial Narrow;sans-serif" w:hAnsi="Arial Narrow;sans-serif"/>
          <w:b w:val="false"/>
          <w:i/>
          <w:color w:val="000000"/>
          <w:sz w:val="21"/>
        </w:rPr>
        <w:t>Options and RSUs</w:t>
      </w:r>
      <w:r>
        <w:rPr>
          <w:rFonts w:ascii="Arial Narrow;sans-serif" w:hAnsi="Arial Narrow;sans-serif"/>
          <w:b w:val="false"/>
          <w:color w:val="000000"/>
          <w:sz w:val="21"/>
        </w:rPr>
        <w:t xml:space="preserve">. The trading prohibitions and restrictions of this policy do not apply to (a) exercising stock options granted under the Company's equity incentive plans for cash, the delivery of previously owned Company stock or surrender of shares subject to the option or (b) vesting of shares pursuant to an RSU award. However, the sale of any shares issued on the exercise of stock options or RSU vesting (including broker-assisted same-day-sale/cashless exercises) are subject to trading restrictions under this policy. </w:t>
      </w:r>
    </w:p>
    <w:p>
      <w:pPr>
        <w:pStyle w:val="TextBody"/>
        <w:bidi w:val="0"/>
        <w:spacing w:lineRule="auto" w:line="319" w:before="0" w:after="200"/>
        <w:ind w:left="0" w:right="0" w:hanging="630"/>
        <w:jc w:val="left"/>
        <w:rPr/>
      </w:pPr>
      <w:r>
        <w:rPr>
          <w:rFonts w:ascii="Arial Narrow;sans-serif" w:hAnsi="Arial Narrow;sans-serif"/>
          <w:b w:val="false"/>
          <w:color w:val="000000"/>
          <w:sz w:val="21"/>
        </w:rPr>
        <w:t>6.4.3    </w:t>
      </w:r>
      <w:r>
        <w:rPr>
          <w:rFonts w:ascii="Arial Narrow;sans-serif" w:hAnsi="Arial Narrow;sans-serif"/>
          <w:b w:val="false"/>
          <w:i/>
          <w:color w:val="000000"/>
          <w:sz w:val="21"/>
        </w:rPr>
        <w:t>Approved Trading Plans</w:t>
      </w:r>
      <w:r>
        <w:rPr>
          <w:rFonts w:ascii="Arial Narrow;sans-serif" w:hAnsi="Arial Narrow;sans-serif"/>
          <w:b w:val="false"/>
          <w:color w:val="000000"/>
          <w:sz w:val="21"/>
        </w:rPr>
        <w:t>. The trading prohibitions and restrictions of this policy do not apply to transactions under a pre-existing written plan, contract, instruction, or arrangement under Rule 10b5-1 under the Securities Exchange Act of 1934 (an "Approved Trading Plan") that:</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 xml:space="preserve">6.4.3a    has been reviewed and approved at least 45 days in advance of any trades thereunder by the Compliance Officer (or, if revised or amended, such revisions or amendments have </w:t>
      </w:r>
    </w:p>
    <w:p>
      <w:pPr>
        <w:pStyle w:val="TextBody"/>
        <w:bidi w:val="0"/>
        <w:spacing w:before="0" w:after="20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91615"/>
                <wp:effectExtent l="0" t="0" r="0" b="0"/>
                <wp:wrapNone/>
                <wp:docPr id="97" name="Frame96"/>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7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7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been reviewed and approved by the Compliance Officer at least 45 days in advance of any subsequent trades);</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6.4.3b    was entered into in good faith by the Insider at a time when the Insider was not in possession of material nonpublic information about the Company; and</w:t>
      </w:r>
    </w:p>
    <w:p>
      <w:pPr>
        <w:pStyle w:val="TextBody"/>
        <w:bidi w:val="0"/>
        <w:spacing w:lineRule="auto" w:line="319" w:before="0" w:after="200"/>
        <w:ind w:left="0" w:right="0" w:hanging="630"/>
        <w:jc w:val="left"/>
        <w:rPr>
          <w:rFonts w:ascii="Arial Narrow;sans-serif" w:hAnsi="Arial Narrow;sans-serif"/>
          <w:b w:val="false"/>
          <w:color w:val="000000"/>
          <w:sz w:val="21"/>
        </w:rPr>
      </w:pPr>
      <w:r>
        <w:rPr>
          <w:rFonts w:ascii="Arial Narrow;sans-serif" w:hAnsi="Arial Narrow;sans-serif"/>
          <w:b w:val="false"/>
          <w:color w:val="000000"/>
          <w:sz w:val="21"/>
        </w:rPr>
        <w:t>6.4.3c    gives a third party the discretionary authority to execute such purchases and sales, outside the control of the Insider, so long as such third party does not possess any material nonpublic information about the Company; or explicitly specifies the security or securities to be purchased or sold, the number of shares, the prices and/or dates of transactions, or other formula(s) describing such transactions.</w:t>
      </w:r>
    </w:p>
    <w:p>
      <w:pPr>
        <w:pStyle w:val="TextBody"/>
        <w:bidi w:val="0"/>
        <w:spacing w:lineRule="auto" w:line="319" w:before="0" w:after="200"/>
        <w:ind w:left="0" w:right="0" w:hanging="630"/>
        <w:jc w:val="left"/>
        <w:rPr/>
      </w:pPr>
      <w:r>
        <w:rPr>
          <w:rFonts w:ascii="Arial Narrow;sans-serif" w:hAnsi="Arial Narrow;sans-serif"/>
          <w:b w:val="false"/>
          <w:color w:val="000000"/>
          <w:sz w:val="21"/>
        </w:rPr>
        <w:t>6.4.4    </w:t>
      </w:r>
      <w:r>
        <w:rPr>
          <w:rFonts w:ascii="Arial Narrow;sans-serif" w:hAnsi="Arial Narrow;sans-serif"/>
          <w:b w:val="false"/>
          <w:i/>
          <w:color w:val="000000"/>
          <w:sz w:val="21"/>
        </w:rPr>
        <w:t>No Exceptions Based on Personal Circumstances.</w:t>
      </w:r>
      <w:r>
        <w:rPr>
          <w:color w:val="000000"/>
        </w:rPr>
        <w:t xml:space="preserve"> </w:t>
      </w:r>
      <w:r>
        <w:rPr>
          <w:rFonts w:ascii="Arial Narrow;sans-serif" w:hAnsi="Arial Narrow;sans-serif"/>
          <w:b w:val="false"/>
          <w:color w:val="000000"/>
          <w:sz w:val="21"/>
        </w:rPr>
        <w:t>There may be instances where an Insider may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6.5    Priority of Statutory or Regulatory Trading Restrictions</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The trading prohibitions and restrictions set forth in this policy will be superseded by any greater prohibitions or restrictions prescribed by federal or state securities laws and regulations, e.g., short-swing trading by Section 16 Individuals. Any Insider who is uncertain whether other prohibitions or restrictions apply should ask the Compliance Officer.</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7. POTENTIAL CIVIL, CRIMINAL AND DISCIPLINARY SANCTIONS</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7.1    Civil and Criminal Penalties</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The consequences of prohibited insider trading or tipping can be severe. Persons violating insider trading or tipping rules may be required to disgorge the profit made or the loss avoided by the trading, pay the loss suffered by the person who purchased securities from or sold securities to the insider tippee, pay civil penalties up to three times the profit made or loss avoided, pay a criminal penalty of up to $1 million, and serve a jail term of up to ten years. The Company and/or the supervisors of the person violating the rules may also be required to pay major civil or criminal penalties.</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7.2    Company Discipline</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Violation of this policy or federal or state insider trading or tipping laws by any director, officer or employee, or their immediate family members, may subject the director to dismissal proceedings and the officer or employee to disciplinary action by the Company up to and including termination for cause.</w:t>
      </w:r>
    </w:p>
    <w:p>
      <w:pPr>
        <w:pStyle w:val="TextBody"/>
        <w:bidi w:val="0"/>
        <w:spacing w:lineRule="auto" w:line="319" w:before="0" w:after="200"/>
        <w:ind w:left="0" w:right="0" w:hanging="360"/>
        <w:jc w:val="left"/>
        <w:rPr>
          <w:rFonts w:ascii="Arial Narrow;sans-serif" w:hAnsi="Arial Narrow;sans-serif"/>
          <w:b w:val="false"/>
          <w:color w:val="000000"/>
          <w:sz w:val="21"/>
        </w:rPr>
      </w:pPr>
      <w:r>
        <w:rPr>
          <w:rFonts w:ascii="Arial Narrow;sans-serif" w:hAnsi="Arial Narrow;sans-serif"/>
          <w:b w:val="false"/>
          <w:color w:val="000000"/>
          <w:sz w:val="21"/>
        </w:rPr>
        <w:t>7.3    Reporting of Violations</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 xml:space="preserve">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other Compliance Committee </w:t>
      </w:r>
    </w:p>
    <w:p>
      <w:pPr>
        <w:pStyle w:val="TextBody"/>
        <w:bidi w:val="0"/>
        <w:spacing w:before="0" w:after="20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91615"/>
                <wp:effectExtent l="0" t="0" r="0" b="0"/>
                <wp:wrapNone/>
                <wp:docPr id="98" name="Frame97"/>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8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8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members and/or the Company’s legal counsel, will determine whether the Company should release any material nonpublic information, or whether the Company should report the violation to the SEC or other appropriate governmental authority.</w:t>
      </w:r>
    </w:p>
    <w:p>
      <w:pPr>
        <w:pStyle w:val="TextBody"/>
        <w:bidi w:val="0"/>
        <w:spacing w:lineRule="auto" w:line="319" w:before="0" w:after="200"/>
        <w:jc w:val="left"/>
        <w:rPr>
          <w:rFonts w:ascii="Arial Narrow;sans-serif" w:hAnsi="Arial Narrow;sans-serif"/>
          <w:b/>
          <w:color w:val="000000"/>
          <w:sz w:val="21"/>
        </w:rPr>
      </w:pPr>
      <w:r>
        <w:rPr>
          <w:rFonts w:ascii="Arial Narrow;sans-serif" w:hAnsi="Arial Narrow;sans-serif"/>
          <w:b/>
          <w:color w:val="000000"/>
          <w:sz w:val="21"/>
        </w:rPr>
        <w:t>8. INQUIRIES</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Please direct all inquiries regarding any of the provisions or procedures of this policy to the Compliance Officer.</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91615"/>
                <wp:effectExtent l="0" t="0" r="0" b="0"/>
                <wp:wrapNone/>
                <wp:docPr id="99" name="Frame98"/>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9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15"/>
                        <w:gridCol w:w="815"/>
                        <w:gridCol w:w="116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87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9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jc w:val="center"/>
        <w:rPr>
          <w:rFonts w:ascii="Arial Narrow;sans-serif" w:hAnsi="Arial Narrow;sans-serif"/>
          <w:b w:val="false"/>
          <w:color w:val="000000"/>
          <w:sz w:val="21"/>
        </w:rPr>
      </w:pPr>
      <w:r>
        <w:rPr>
          <w:rFonts w:ascii="Arial Narrow;sans-serif" w:hAnsi="Arial Narrow;sans-serif"/>
          <w:b w:val="false"/>
          <w:color w:val="000000"/>
          <w:sz w:val="21"/>
        </w:rPr>
        <w:t xml:space="preserve">APPLICATION AND APPROVAL FORM FOR TRADING BY </w:t>
      </w:r>
    </w:p>
    <w:p>
      <w:pPr>
        <w:pStyle w:val="TextBody"/>
        <w:bidi w:val="0"/>
        <w:spacing w:lineRule="auto" w:line="319" w:before="0" w:after="200"/>
        <w:jc w:val="center"/>
        <w:rPr>
          <w:rFonts w:ascii="Arial Narrow;sans-serif" w:hAnsi="Arial Narrow;sans-serif"/>
          <w:b w:val="false"/>
          <w:color w:val="000000"/>
          <w:sz w:val="21"/>
        </w:rPr>
      </w:pPr>
      <w:r>
        <w:rPr>
          <w:rFonts w:ascii="Arial Narrow;sans-serif" w:hAnsi="Arial Narrow;sans-serif"/>
          <w:b w:val="false"/>
          <w:color w:val="000000"/>
          <w:sz w:val="21"/>
        </w:rPr>
        <w:t>SECTION 16 INDIVIDUALS AND RESTRICTED EMPLOYEES</w:t>
      </w:r>
    </w:p>
    <w:p>
      <w:pPr>
        <w:pStyle w:val="TextBody"/>
        <w:bidi w:val="0"/>
        <w:spacing w:lineRule="atLeast" w:line="226" w:before="0" w:after="0"/>
        <w:jc w:val="left"/>
        <w:rPr/>
      </w:pPr>
      <w:r>
        <w:rPr>
          <w:rFonts w:ascii="Arial Narrow;sans-serif" w:hAnsi="Arial Narrow;sans-serif"/>
          <w:b w:val="false"/>
          <w:color w:val="000000"/>
          <w:sz w:val="21"/>
        </w:rPr>
        <w:t>Name:    </w:t>
      </w:r>
      <w:r>
        <w:rPr>
          <w:color w:val="000000"/>
          <w:u w:val="single"/>
        </w:rPr>
        <w:t xml:space="preserve">     </w:t>
      </w:r>
    </w:p>
    <w:p>
      <w:pPr>
        <w:pStyle w:val="TextBody"/>
        <w:bidi w:val="0"/>
        <w:spacing w:lineRule="atLeast" w:line="226" w:before="34" w:after="283"/>
        <w:jc w:val="left"/>
        <w:rPr/>
      </w:pPr>
      <w:r>
        <w:rPr>
          <w:rFonts w:ascii="Arial Narrow;sans-serif" w:hAnsi="Arial Narrow;sans-serif"/>
          <w:b w:val="false"/>
          <w:color w:val="000000"/>
          <w:sz w:val="21"/>
        </w:rPr>
        <w:br/>
        <w:t>Title:    </w:t>
      </w:r>
      <w:r>
        <w:rPr>
          <w:color w:val="000000"/>
          <w:u w:val="single"/>
        </w:rPr>
        <w:t xml:space="preserve">     </w:t>
      </w:r>
    </w:p>
    <w:p>
      <w:pPr>
        <w:pStyle w:val="TextBody"/>
        <w:bidi w:val="0"/>
        <w:spacing w:before="9" w:after="283"/>
        <w:jc w:val="left"/>
        <w:rPr/>
      </w:pPr>
      <w:r>
        <w:rPr/>
      </w:r>
    </w:p>
    <w:p>
      <w:pPr>
        <w:pStyle w:val="TextBody"/>
        <w:bidi w:val="0"/>
        <w:spacing w:lineRule="atLeast" w:line="226" w:before="34" w:after="283"/>
        <w:jc w:val="left"/>
        <w:rPr/>
      </w:pPr>
      <w:r>
        <w:rPr>
          <w:rFonts w:ascii="Arial Narrow;sans-serif" w:hAnsi="Arial Narrow;sans-serif"/>
          <w:b w:val="false"/>
          <w:color w:val="000000"/>
          <w:sz w:val="21"/>
        </w:rPr>
        <w:t>Proposed Trade Date:    </w:t>
      </w:r>
      <w:r>
        <w:rPr>
          <w:color w:val="000000"/>
          <w:u w:val="single"/>
        </w:rPr>
        <w:t xml:space="preserve">     </w:t>
      </w:r>
    </w:p>
    <w:p>
      <w:pPr>
        <w:pStyle w:val="TextBody"/>
        <w:bidi w:val="0"/>
        <w:spacing w:before="9" w:after="283"/>
        <w:jc w:val="left"/>
        <w:rPr/>
      </w:pPr>
      <w:r>
        <w:rPr/>
      </w:r>
    </w:p>
    <w:tbl>
      <w:tblPr>
        <w:tblW w:w="2935" w:type="dxa"/>
        <w:jc w:val="left"/>
        <w:tblInd w:w="0" w:type="dxa"/>
        <w:tblLayout w:type="fixed"/>
        <w:tblCellMar>
          <w:top w:w="28" w:type="dxa"/>
          <w:left w:w="28" w:type="dxa"/>
          <w:bottom w:w="28" w:type="dxa"/>
          <w:right w:w="28" w:type="dxa"/>
        </w:tblCellMar>
      </w:tblPr>
      <w:tblGrid>
        <w:gridCol w:w="907"/>
        <w:gridCol w:w="797"/>
        <w:gridCol w:w="800"/>
        <w:gridCol w:w="126"/>
        <w:gridCol w:w="126"/>
        <w:gridCol w:w="179"/>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74" w:after="283"/>
              <w:jc w:val="left"/>
              <w:rPr>
                <w:rFonts w:ascii="Arial Narrow;sans-serif" w:hAnsi="Arial Narrow;sans-serif"/>
                <w:b w:val="false"/>
                <w:color w:val="000000"/>
                <w:sz w:val="21"/>
              </w:rPr>
            </w:pPr>
            <w:r>
              <w:rPr>
                <w:rFonts w:ascii="Arial Narrow;sans-serif" w:hAnsi="Arial Narrow;sans-serif"/>
                <w:b w:val="false"/>
                <w:color w:val="000000"/>
                <w:sz w:val="21"/>
              </w:rPr>
              <w:t>Type of Security to be Traded:</w:t>
            </w:r>
          </w:p>
        </w:tc>
        <w:tc>
          <w:tcPr>
            <w:tcW w:w="431" w:type="dxa"/>
            <w:gridSpan w:val="3"/>
            <w:tcBorders/>
            <w:tcMar>
              <w:top w:w="0" w:type="dxa"/>
              <w:left w:w="0" w:type="dxa"/>
              <w:bottom w:w="0" w:type="dxa"/>
              <w:right w:w="0" w:type="dxa"/>
            </w:tcMar>
            <w:vAlign w:val="center"/>
          </w:tcPr>
          <w:p>
            <w:pPr>
              <w:pStyle w:val="TableContents"/>
              <w:bidi w:val="0"/>
              <w:spacing w:lineRule="auto" w:line="288" w:before="74" w:after="283"/>
              <w:jc w:val="left"/>
              <w:rPr>
                <w:color w:val="000000"/>
                <w:u w:val="single"/>
              </w:rPr>
            </w:pPr>
            <w:r>
              <w:rPr>
                <w:color w:val="000000"/>
                <w:u w:val="single"/>
              </w:rPr>
              <w:t>     </w:t>
            </w:r>
          </w:p>
        </w:tc>
      </w:tr>
      <w:tr>
        <w:trPr/>
        <w:tc>
          <w:tcPr>
            <w:tcW w:w="2504" w:type="dxa"/>
            <w:gridSpan w:val="3"/>
            <w:tcBorders/>
            <w:tcMar>
              <w:top w:w="0" w:type="dxa"/>
              <w:left w:w="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t>Type of Trade (Purchase/Sale):</w:t>
            </w:r>
          </w:p>
        </w:tc>
        <w:tc>
          <w:tcPr>
            <w:tcW w:w="431" w:type="dxa"/>
            <w:gridSpan w:val="3"/>
            <w:tcBorders/>
            <w:tcMar>
              <w:top w:w="0" w:type="dxa"/>
              <w:left w:w="0" w:type="dxa"/>
              <w:bottom w:w="0" w:type="dxa"/>
              <w:right w:w="0" w:type="dxa"/>
            </w:tcMar>
            <w:vAlign w:val="center"/>
          </w:tcPr>
          <w:p>
            <w:pPr>
              <w:pStyle w:val="TableContents"/>
              <w:bidi w:val="0"/>
              <w:spacing w:before="4" w:after="283"/>
              <w:jc w:val="left"/>
              <w:rPr/>
            </w:pPr>
            <w:r>
              <w:rPr/>
            </w:r>
          </w:p>
          <w:p>
            <w:pPr>
              <w:pStyle w:val="TableContents"/>
              <w:bidi w:val="0"/>
              <w:spacing w:lineRule="auto" w:line="288" w:before="0" w:after="0"/>
              <w:jc w:val="left"/>
              <w:rPr>
                <w:color w:val="000000"/>
                <w:u w:val="single"/>
              </w:rPr>
            </w:pPr>
            <w:r>
              <w:rPr>
                <w:color w:val="000000"/>
                <w:u w:val="single"/>
              </w:rPr>
              <w:t>     </w:t>
            </w:r>
          </w:p>
        </w:tc>
      </w:tr>
      <w:tr>
        <w:trPr/>
        <w:tc>
          <w:tcPr>
            <w:tcW w:w="2504" w:type="dxa"/>
            <w:gridSpan w:val="3"/>
            <w:tcBorders/>
            <w:tcMar>
              <w:top w:w="0" w:type="dxa"/>
              <w:left w:w="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t>Number of Shares to be Traded:</w:t>
            </w:r>
          </w:p>
        </w:tc>
        <w:tc>
          <w:tcPr>
            <w:tcW w:w="431" w:type="dxa"/>
            <w:gridSpan w:val="3"/>
            <w:tcBorders/>
            <w:tcMar>
              <w:top w:w="0" w:type="dxa"/>
              <w:left w:w="0" w:type="dxa"/>
              <w:bottom w:w="0" w:type="dxa"/>
              <w:right w:w="0" w:type="dxa"/>
            </w:tcMar>
            <w:vAlign w:val="center"/>
          </w:tcPr>
          <w:p>
            <w:pPr>
              <w:pStyle w:val="TableContents"/>
              <w:bidi w:val="0"/>
              <w:spacing w:before="5" w:after="283"/>
              <w:jc w:val="left"/>
              <w:rPr/>
            </w:pPr>
            <w:r>
              <w:rPr/>
            </w:r>
          </w:p>
          <w:p>
            <w:pPr>
              <w:pStyle w:val="TableContents"/>
              <w:bidi w:val="0"/>
              <w:spacing w:lineRule="auto" w:line="288" w:before="0" w:after="0"/>
              <w:jc w:val="left"/>
              <w:rPr>
                <w:color w:val="000000"/>
                <w:u w:val="single"/>
              </w:rPr>
            </w:pPr>
            <w:r>
              <w:rPr>
                <w:color w:val="000000"/>
                <w:u w:val="single"/>
              </w:rPr>
              <w:t>     </w:t>
            </w:r>
          </w:p>
        </w:tc>
      </w:tr>
    </w:tbl>
    <w:p>
      <w:pPr>
        <w:pStyle w:val="TextBody"/>
        <w:bidi w:val="0"/>
        <w:spacing w:before="0" w:after="0"/>
        <w:jc w:val="left"/>
        <w:rPr/>
      </w:pPr>
      <w:r>
        <w:rPr/>
      </w:r>
    </w:p>
    <w:p>
      <w:pPr>
        <w:pStyle w:val="TextBody"/>
        <w:bidi w:val="0"/>
        <w:spacing w:lineRule="auto" w:line="319" w:before="0" w:after="200"/>
        <w:jc w:val="center"/>
        <w:rPr>
          <w:rFonts w:ascii="Arial Narrow;sans-serif" w:hAnsi="Arial Narrow;sans-serif"/>
          <w:b w:val="false"/>
          <w:color w:val="000000"/>
          <w:sz w:val="21"/>
        </w:rPr>
      </w:pPr>
      <w:r>
        <w:rPr>
          <w:rFonts w:ascii="Arial Narrow;sans-serif" w:hAnsi="Arial Narrow;sans-serif"/>
          <w:b w:val="false"/>
          <w:color w:val="000000"/>
          <w:sz w:val="21"/>
        </w:rPr>
        <w:br/>
        <w:t>EXAMPLES OF MATERIAL NONPUBLIC INFORMATION</w:t>
      </w:r>
    </w:p>
    <w:p>
      <w:pPr>
        <w:pStyle w:val="TextBody"/>
        <w:bidi w:val="0"/>
        <w:spacing w:lineRule="auto" w:line="319" w:before="0" w:after="200"/>
        <w:jc w:val="left"/>
        <w:rPr>
          <w:rFonts w:ascii="Arial Narrow;sans-serif" w:hAnsi="Arial Narrow;sans-serif"/>
          <w:b w:val="false"/>
          <w:color w:val="000000"/>
          <w:sz w:val="21"/>
        </w:rPr>
      </w:pPr>
      <w:r>
        <w:rPr>
          <w:rFonts w:ascii="Arial Narrow;sans-serif" w:hAnsi="Arial Narrow;sans-serif"/>
          <w:b w:val="false"/>
          <w:color w:val="000000"/>
          <w:sz w:val="21"/>
        </w:rPr>
        <w:t>While it is not possible to identify all information that would be deemed “material nonpublic information,” the following types of information ordinarily would be included in the definition if not yet publicly released by the Company:</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Financial performance, especially quarterly and year-end earnings, and significant changes in financial performance or liquidity.</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Company projections and strategic plans.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Potential mergers and acquisitions or the sale of Company assets or subsidiaries.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New major contracts, orders, suppliers, customers or finance sources, or the loss thereof.</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Major discoveries or significant changes or developments in products or product lines, research or technologies.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changes or developments in supplies or inventory, including significant product defects, recalls or product returns.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pricing changes.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Stock splits, public or private securities/debt offerings, or changes in Company dividend policies or amounts.</w:t>
      </w:r>
    </w:p>
    <w:p>
      <w:pPr>
        <w:pStyle w:val="TextBody"/>
        <w:bidi w:val="0"/>
        <w:spacing w:lineRule="auto" w:line="319" w:before="0" w:after="0"/>
        <w:ind w:left="0" w:right="0" w:hanging="360"/>
        <w:jc w:val="left"/>
        <w:rPr/>
      </w:pPr>
      <w:r>
        <w:rPr>
          <w:color w:val="000000"/>
        </w:rPr>
        <w:t>•</w:t>
      </w:r>
      <w:r>
        <w:rPr>
          <w:rFonts w:ascii="Arial Narrow;sans-serif" w:hAnsi="Arial Narrow;sans-serif"/>
          <w:b w:val="false"/>
          <w:color w:val="000000"/>
          <w:sz w:val="21"/>
        </w:rPr>
        <w:t>Significant changes in senior management.</w:t>
      </w:r>
    </w:p>
    <w:p>
      <w:pPr>
        <w:pStyle w:val="TextBody"/>
        <w:bidi w:val="0"/>
        <w:spacing w:lineRule="auto" w:line="319" w:before="0" w:after="200"/>
        <w:ind w:left="0" w:right="0" w:hanging="360"/>
        <w:jc w:val="left"/>
        <w:rPr/>
      </w:pPr>
      <w:r>
        <w:rPr>
          <w:color w:val="000000"/>
        </w:rPr>
        <w:t>•</w:t>
      </w:r>
      <w:r>
        <w:rPr>
          <w:rFonts w:ascii="Arial Narrow;sans-serif" w:hAnsi="Arial Narrow;sans-serif"/>
          <w:b w:val="false"/>
          <w:color w:val="000000"/>
          <w:sz w:val="21"/>
        </w:rPr>
        <w:t>Actual or threatened major litigation or the resolution of such litigation.</w:t>
      </w:r>
    </w:p>
    <w:p>
      <w:pPr>
        <w:pStyle w:val="TextBody"/>
        <w:bidi w:val="0"/>
        <w:spacing w:before="0" w:after="20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91615"/>
                <wp:effectExtent l="0" t="0" r="0" b="0"/>
                <wp:wrapNone/>
                <wp:docPr id="100" name="Frame99"/>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10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10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319" w:before="0" w:after="200"/>
        <w:jc w:val="center"/>
        <w:rPr>
          <w:rFonts w:ascii="Arial Narrow;sans-serif" w:hAnsi="Arial Narrow;sans-serif"/>
          <w:b w:val="false"/>
          <w:color w:val="000000"/>
          <w:sz w:val="21"/>
        </w:rPr>
      </w:pPr>
      <w:r>
        <w:rPr>
          <w:rFonts w:ascii="Arial Narrow;sans-serif" w:hAnsi="Arial Narrow;sans-serif"/>
          <w:b w:val="false"/>
          <w:color w:val="000000"/>
          <w:sz w:val="21"/>
        </w:rPr>
        <w:t>CERTIFICATION</w:t>
      </w:r>
    </w:p>
    <w:p>
      <w:pPr>
        <w:pStyle w:val="TextBody"/>
        <w:bidi w:val="0"/>
        <w:spacing w:before="0" w:after="200"/>
        <w:jc w:val="center"/>
        <w:rPr/>
      </w:pPr>
      <w:r>
        <w:rPr/>
      </w:r>
    </w:p>
    <w:p>
      <w:pPr>
        <w:pStyle w:val="TextBody"/>
        <w:bidi w:val="0"/>
        <w:spacing w:lineRule="auto" w:line="288" w:before="35" w:after="283"/>
        <w:jc w:val="both"/>
        <w:rPr>
          <w:rFonts w:ascii="Arial Narrow;sans-serif" w:hAnsi="Arial Narrow;sans-serif"/>
          <w:b w:val="false"/>
          <w:color w:val="000000"/>
          <w:sz w:val="21"/>
        </w:rPr>
      </w:pPr>
      <w:r>
        <w:rPr>
          <w:rFonts w:ascii="Arial Narrow;sans-serif" w:hAnsi="Arial Narrow;sans-serif"/>
          <w:b w:val="false"/>
          <w:color w:val="000000"/>
          <w:sz w:val="21"/>
        </w:rPr>
        <w:t>I, , hereby certify that (i) I am not in possession of any “material nonpublic information” concerning the Company (as defined in the Company’s “Insider Trading” Policy) and (ii) to the best of my knowledge, the proposed trade(s) listed above do not violate the trading restrictions of Section 16 of the Securities Exchange Act of 1934, as amended. I understand that if I trade while possessing such information or in violation of such trading restrictions, I may be subject to severe civil and/or criminal penalties, and may be subject to discipline by the Company up to and including termination for cause.</w:t>
      </w:r>
    </w:p>
    <w:p>
      <w:pPr>
        <w:pStyle w:val="TextBody"/>
        <w:bidi w:val="0"/>
        <w:spacing w:before="35" w:after="283"/>
        <w:jc w:val="both"/>
        <w:rPr/>
      </w:pPr>
      <w:r>
        <w:rPr/>
      </w:r>
    </w:p>
    <w:p>
      <w:pPr>
        <w:pStyle w:val="TextBody"/>
        <w:bidi w:val="0"/>
        <w:spacing w:before="35" w:after="283"/>
        <w:jc w:val="left"/>
        <w:rPr/>
      </w:pPr>
      <w:r>
        <w:rPr/>
      </w:r>
    </w:p>
    <w:p>
      <w:pPr>
        <w:pStyle w:val="TextBody"/>
        <w:bidi w:val="0"/>
        <w:spacing w:lineRule="auto" w:line="288" w:before="35" w:after="283"/>
        <w:jc w:val="both"/>
        <w:rPr/>
      </w:pPr>
      <w:r>
        <w:rPr/>
        <w:drawing>
          <wp:inline distT="0" distB="0" distL="0" distR="0">
            <wp:extent cx="2962275" cy="14605"/>
            <wp:effectExtent l="0" t="0" r="0" b="0"/>
            <wp:docPr id="10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 descr=""/>
                    <pic:cNvPicPr>
                      <a:picLocks noChangeAspect="1" noChangeArrowheads="1"/>
                    </pic:cNvPicPr>
                  </pic:nvPicPr>
                  <pic:blipFill>
                    <a:blip r:embed="rId32"/>
                    <a:stretch>
                      <a:fillRect/>
                    </a:stretch>
                  </pic:blipFill>
                  <pic:spPr bwMode="auto">
                    <a:xfrm>
                      <a:off x="0" y="0"/>
                      <a:ext cx="2962275" cy="14605"/>
                    </a:xfrm>
                    <a:prstGeom prst="rect">
                      <a:avLst/>
                    </a:prstGeom>
                  </pic:spPr>
                </pic:pic>
              </a:graphicData>
            </a:graphic>
          </wp:inline>
        </w:drawing>
      </w:r>
      <w:r>
        <w:rPr/>
        <w:drawing>
          <wp:inline distT="0" distB="0" distL="0" distR="0">
            <wp:extent cx="2047875" cy="14605"/>
            <wp:effectExtent l="0" t="0" r="0" b="0"/>
            <wp:docPr id="10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 descr=""/>
                    <pic:cNvPicPr>
                      <a:picLocks noChangeAspect="1" noChangeArrowheads="1"/>
                    </pic:cNvPicPr>
                  </pic:nvPicPr>
                  <pic:blipFill>
                    <a:blip r:embed="rId33"/>
                    <a:stretch>
                      <a:fillRect/>
                    </a:stretch>
                  </pic:blipFill>
                  <pic:spPr bwMode="auto">
                    <a:xfrm>
                      <a:off x="0" y="0"/>
                      <a:ext cx="2047875" cy="14605"/>
                    </a:xfrm>
                    <a:prstGeom prst="rect">
                      <a:avLst/>
                    </a:prstGeom>
                  </pic:spPr>
                </pic:pic>
              </a:graphicData>
            </a:graphic>
          </wp:inline>
        </w:drawing>
      </w:r>
      <w:r>
        <w:rPr>
          <w:rFonts w:ascii="Arial Narrow;sans-serif" w:hAnsi="Arial Narrow;sans-serif"/>
          <w:b w:val="false"/>
          <w:color w:val="000000"/>
          <w:sz w:val="21"/>
        </w:rPr>
        <w:t>Signature                         Date</w:t>
      </w:r>
    </w:p>
    <w:p>
      <w:pPr>
        <w:pStyle w:val="TextBody"/>
        <w:bidi w:val="0"/>
        <w:spacing w:before="35" w:after="283"/>
        <w:jc w:val="both"/>
        <w:rPr/>
      </w:pPr>
      <w:r>
        <w:rPr/>
      </w:r>
    </w:p>
    <w:p>
      <w:pPr>
        <w:pStyle w:val="TextBody"/>
        <w:bidi w:val="0"/>
        <w:spacing w:before="6" w:after="283"/>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jc w:val="left"/>
        <w:rPr/>
      </w:pPr>
      <w:r>
        <w:rPr>
          <w:rFonts w:ascii="Arial Narrow;sans-serif" w:hAnsi="Arial Narrow;sans-serif"/>
          <w:b w:val="false"/>
          <w:color w:val="000000"/>
          <w:sz w:val="21"/>
        </w:rPr>
        <w:t xml:space="preserve">Reminder: Any trades approved herewith must be executed no later than </w:t>
      </w:r>
      <w:r>
        <w:rPr>
          <w:rFonts w:ascii="Arial Narrow;sans-serif" w:hAnsi="Arial Narrow;sans-serif"/>
          <w:b/>
          <w:color w:val="000000"/>
          <w:sz w:val="21"/>
        </w:rPr>
        <w:t xml:space="preserve">5 (five) </w:t>
      </w:r>
      <w:r>
        <w:rPr>
          <w:rFonts w:ascii="Arial Narrow;sans-serif" w:hAnsi="Arial Narrow;sans-serif"/>
          <w:b w:val="false"/>
          <w:color w:val="000000"/>
          <w:sz w:val="21"/>
        </w:rPr>
        <w:t>business days following the date signed by the Insider Trading Compliance Officer, provided the trading window has not closed. In no case may any trades take place after the trading window has closed.</w:t>
      </w:r>
    </w:p>
    <w:p>
      <w:pPr>
        <w:pStyle w:val="TextBody"/>
        <w:bidi w:val="0"/>
        <w:spacing w:before="0" w:after="0"/>
        <w:jc w:val="left"/>
        <w:rPr/>
      </w:pPr>
      <w:r>
        <w:rPr/>
      </w:r>
    </w:p>
    <w:p>
      <w:pPr>
        <w:pStyle w:val="TextBody"/>
        <w:bidi w:val="0"/>
        <w:spacing w:before="0" w:after="0"/>
        <w:jc w:val="left"/>
        <w:rPr/>
      </w:pPr>
      <w:r>
        <w:rPr/>
      </w:r>
    </w:p>
    <w:p>
      <w:pPr>
        <w:pStyle w:val="TextBody"/>
        <w:bidi w:val="0"/>
        <w:spacing w:before="9" w:after="283"/>
        <w:jc w:val="left"/>
        <w:rPr/>
      </w:pPr>
      <w:r>
        <w:rPr/>
      </w:r>
    </w:p>
    <w:p>
      <w:pPr>
        <w:pStyle w:val="TextBody"/>
        <w:bidi w:val="0"/>
        <w:spacing w:lineRule="atLeast" w:line="200" w:before="0" w:after="0"/>
        <w:jc w:val="center"/>
        <w:rPr>
          <w:rFonts w:ascii="Arial Narrow;sans-serif" w:hAnsi="Arial Narrow;sans-serif"/>
          <w:b w:val="false"/>
          <w:color w:val="000000"/>
          <w:sz w:val="20"/>
        </w:rPr>
      </w:pPr>
      <w:r>
        <w:rPr>
          <w:rFonts w:ascii="Arial Narrow;sans-serif" w:hAnsi="Arial Narrow;sans-serif"/>
          <w:b w:val="false"/>
          <w:color w:val="000000"/>
          <w:sz w:val="20"/>
        </w:rPr>
        <w:t>REVIEW AND DECISION</w:t>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t xml:space="preserve">The undersigned hereby certifies that s/he has reviewed the foregoing application and </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r>
        <w:rPr>
          <w:color w:val="000000"/>
        </w:rPr>
        <w:t xml:space="preserve"> </w:t>
      </w:r>
      <w:r>
        <w:rPr>
          <w:rFonts w:ascii="Arial Narrow;sans-serif" w:hAnsi="Arial Narrow;sans-serif"/>
          <w:b w:val="false"/>
          <w:color w:val="000000"/>
          <w:sz w:val="21"/>
        </w:rPr>
        <w:t xml:space="preserve">PROHIBITS </w:t>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r>
        <w:rPr>
          <w:color w:val="000000"/>
        </w:rPr>
        <w:t xml:space="preserve"> </w:t>
      </w:r>
      <w:r>
        <w:rPr>
          <w:rFonts w:ascii="Arial Narrow;sans-serif" w:hAnsi="Arial Narrow;sans-serif"/>
          <w:b w:val="false"/>
          <w:color w:val="000000"/>
          <w:sz w:val="21"/>
        </w:rPr>
        <w:t xml:space="preserve">DOES NOT PROHIBIT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t>the proposed trade(s).</w:t>
      </w:r>
    </w:p>
    <w:p>
      <w:pPr>
        <w:pStyle w:val="TextBody"/>
        <w:bidi w:val="0"/>
        <w:spacing w:before="4"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26" w:before="34" w:after="283"/>
        <w:jc w:val="left"/>
        <w:rPr/>
      </w:pPr>
      <w:r>
        <w:rPr/>
        <w:drawing>
          <wp:inline distT="0" distB="0" distL="0" distR="0">
            <wp:extent cx="2886075" cy="14605"/>
            <wp:effectExtent l="0" t="0" r="0" b="0"/>
            <wp:docPr id="10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 descr=""/>
                    <pic:cNvPicPr>
                      <a:picLocks noChangeAspect="1" noChangeArrowheads="1"/>
                    </pic:cNvPicPr>
                  </pic:nvPicPr>
                  <pic:blipFill>
                    <a:blip r:embed="rId34"/>
                    <a:stretch>
                      <a:fillRect/>
                    </a:stretch>
                  </pic:blipFill>
                  <pic:spPr bwMode="auto">
                    <a:xfrm>
                      <a:off x="0" y="0"/>
                      <a:ext cx="2886075" cy="14605"/>
                    </a:xfrm>
                    <a:prstGeom prst="rect">
                      <a:avLst/>
                    </a:prstGeom>
                  </pic:spPr>
                </pic:pic>
              </a:graphicData>
            </a:graphic>
          </wp:inline>
        </w:drawing>
      </w:r>
      <w:r>
        <w:rPr/>
        <w:drawing>
          <wp:inline distT="0" distB="0" distL="0" distR="0">
            <wp:extent cx="2114550" cy="14605"/>
            <wp:effectExtent l="0" t="0" r="0" b="0"/>
            <wp:docPr id="10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 descr=""/>
                    <pic:cNvPicPr>
                      <a:picLocks noChangeAspect="1" noChangeArrowheads="1"/>
                    </pic:cNvPicPr>
                  </pic:nvPicPr>
                  <pic:blipFill>
                    <a:blip r:embed="rId35"/>
                    <a:stretch>
                      <a:fillRect/>
                    </a:stretch>
                  </pic:blipFill>
                  <pic:spPr bwMode="auto">
                    <a:xfrm>
                      <a:off x="0" y="0"/>
                      <a:ext cx="2114550" cy="14605"/>
                    </a:xfrm>
                    <a:prstGeom prst="rect">
                      <a:avLst/>
                    </a:prstGeom>
                  </pic:spPr>
                </pic:pic>
              </a:graphicData>
            </a:graphic>
          </wp:inline>
        </w:drawing>
      </w:r>
      <w:r>
        <w:rPr>
          <w:rFonts w:ascii="Arial Narrow;sans-serif" w:hAnsi="Arial Narrow;sans-serif"/>
          <w:b w:val="false"/>
          <w:color w:val="000000"/>
          <w:sz w:val="21"/>
        </w:rPr>
        <w:t>Insider Trading Compliance Officer (or Designee) Date</w:t>
      </w:r>
    </w:p>
    <w:p>
      <w:pPr>
        <w:pStyle w:val="TextBody"/>
        <w:bidi w:val="0"/>
        <w:spacing w:before="8"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91615"/>
                <wp:effectExtent l="0" t="0" r="0" b="0"/>
                <wp:wrapNone/>
                <wp:docPr id="105" name="Frame100"/>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11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11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34" w:after="283"/>
        <w:jc w:val="center"/>
        <w:rPr>
          <w:rFonts w:ascii="Arial Narrow;sans-serif" w:hAnsi="Arial Narrow;sans-serif"/>
          <w:b/>
          <w:color w:val="000000"/>
          <w:sz w:val="21"/>
        </w:rPr>
      </w:pPr>
      <w:r>
        <w:rPr>
          <w:rFonts w:ascii="Arial Narrow;sans-serif" w:hAnsi="Arial Narrow;sans-serif"/>
          <w:b/>
          <w:color w:val="000000"/>
          <w:sz w:val="21"/>
        </w:rPr>
        <w:t>RECEIPT AND ACKNOWLEDGMENT</w:t>
      </w:r>
    </w:p>
    <w:p>
      <w:pPr>
        <w:pStyle w:val="TextBody"/>
        <w:bidi w:val="0"/>
        <w:spacing w:before="34" w:after="283"/>
        <w:jc w:val="center"/>
        <w:rPr/>
      </w:pPr>
      <w:r>
        <w:rPr/>
      </w:r>
    </w:p>
    <w:p>
      <w:pPr>
        <w:pStyle w:val="TextBody"/>
        <w:bidi w:val="0"/>
        <w:spacing w:before="34" w:after="283"/>
        <w:jc w:val="center"/>
        <w:rPr/>
      </w:pPr>
      <w:r>
        <w:rPr/>
      </w:r>
    </w:p>
    <w:p>
      <w:pPr>
        <w:pStyle w:val="TextBody"/>
        <w:bidi w:val="0"/>
        <w:spacing w:lineRule="auto" w:line="288" w:before="35" w:after="283"/>
        <w:jc w:val="both"/>
        <w:rPr>
          <w:rFonts w:ascii="Arial Narrow;sans-serif" w:hAnsi="Arial Narrow;sans-serif"/>
          <w:b w:val="false"/>
          <w:color w:val="000000"/>
          <w:sz w:val="21"/>
        </w:rPr>
      </w:pPr>
      <w:r>
        <w:rPr>
          <w:rFonts w:ascii="Arial Narrow;sans-serif" w:hAnsi="Arial Narrow;sans-serif"/>
          <w:b w:val="false"/>
          <w:color w:val="000000"/>
          <w:sz w:val="21"/>
        </w:rPr>
        <w:t>I, , hereby acknowledge that I have received and read a copy of the “Insider Trading” Policy and agree to comply with its terms. I understand that violation of the insider trading or tipping laws or regulations may subject me to severe civil and/or criminal penalties, and that violation of the terms of the above titled policy may subject me to discipline by the Company up to and including termination for cause.</w:t>
      </w:r>
    </w:p>
    <w:p>
      <w:pPr>
        <w:pStyle w:val="TextBody"/>
        <w:bidi w:val="0"/>
        <w:spacing w:before="35" w:after="283"/>
        <w:jc w:val="both"/>
        <w:rPr/>
      </w:pPr>
      <w:r>
        <w:rPr/>
      </w:r>
    </w:p>
    <w:p>
      <w:pPr>
        <w:pStyle w:val="TextBody"/>
        <w:bidi w:val="0"/>
        <w:spacing w:before="35" w:after="283"/>
        <w:jc w:val="both"/>
        <w:rPr/>
      </w:pPr>
      <w:r>
        <w:rPr/>
      </w:r>
    </w:p>
    <w:p>
      <w:pPr>
        <w:pStyle w:val="TextBody"/>
        <w:bidi w:val="0"/>
        <w:spacing w:before="35" w:after="283"/>
        <w:jc w:val="both"/>
        <w:rPr/>
      </w:pPr>
      <w:r>
        <w:rPr/>
      </w:r>
    </w:p>
    <w:p>
      <w:pPr>
        <w:pStyle w:val="TextBody"/>
        <w:bidi w:val="0"/>
        <w:spacing w:before="35" w:after="283"/>
        <w:jc w:val="both"/>
        <w:rPr/>
      </w:pPr>
      <w:r>
        <w:rPr/>
      </w:r>
    </w:p>
    <w:p>
      <w:pPr>
        <w:pStyle w:val="TextBody"/>
        <w:bidi w:val="0"/>
        <w:spacing w:before="35" w:after="283"/>
        <w:jc w:val="left"/>
        <w:rPr/>
      </w:pPr>
      <w:r>
        <w:rPr/>
      </w:r>
    </w:p>
    <w:p>
      <w:pPr>
        <w:pStyle w:val="TextBody"/>
        <w:bidi w:val="0"/>
        <w:spacing w:lineRule="auto" w:line="288" w:before="35" w:after="283"/>
        <w:jc w:val="both"/>
        <w:rPr/>
      </w:pPr>
      <w:r>
        <w:rPr/>
        <w:drawing>
          <wp:inline distT="0" distB="0" distL="0" distR="0">
            <wp:extent cx="2962275" cy="14605"/>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36"/>
                    <a:stretch>
                      <a:fillRect/>
                    </a:stretch>
                  </pic:blipFill>
                  <pic:spPr bwMode="auto">
                    <a:xfrm>
                      <a:off x="0" y="0"/>
                      <a:ext cx="2962275" cy="14605"/>
                    </a:xfrm>
                    <a:prstGeom prst="rect">
                      <a:avLst/>
                    </a:prstGeom>
                  </pic:spPr>
                </pic:pic>
              </a:graphicData>
            </a:graphic>
          </wp:inline>
        </w:drawing>
      </w:r>
      <w:r>
        <w:rPr/>
        <w:drawing>
          <wp:inline distT="0" distB="0" distL="0" distR="0">
            <wp:extent cx="2047875" cy="14605"/>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37"/>
                    <a:stretch>
                      <a:fillRect/>
                    </a:stretch>
                  </pic:blipFill>
                  <pic:spPr bwMode="auto">
                    <a:xfrm>
                      <a:off x="0" y="0"/>
                      <a:ext cx="2047875" cy="14605"/>
                    </a:xfrm>
                    <a:prstGeom prst="rect">
                      <a:avLst/>
                    </a:prstGeom>
                  </pic:spPr>
                </pic:pic>
              </a:graphicData>
            </a:graphic>
          </wp:inline>
        </w:drawing>
      </w:r>
      <w:r>
        <w:rPr>
          <w:rFonts w:ascii="Arial Narrow;sans-serif" w:hAnsi="Arial Narrow;sans-serif"/>
          <w:b w:val="false"/>
          <w:color w:val="000000"/>
          <w:sz w:val="21"/>
        </w:rPr>
        <w:t>Signature                         Date</w:t>
      </w:r>
    </w:p>
    <w:p>
      <w:pPr>
        <w:pStyle w:val="TextBody"/>
        <w:bidi w:val="0"/>
        <w:spacing w:before="3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91615"/>
                <wp:effectExtent l="0" t="0" r="0" b="0"/>
                <wp:wrapNone/>
                <wp:docPr id="108" name="Frame101"/>
                <a:graphic xmlns:a="http://schemas.openxmlformats.org/drawingml/2006/main">
                  <a:graphicData uri="http://schemas.microsoft.com/office/word/2010/wordprocessingShape">
                    <wps:wsp>
                      <wps:cNvSpPr txBox="1"/>
                      <wps:spPr>
                        <a:xfrm>
                          <a:off x="0" y="0"/>
                          <a:ext cx="6480175" cy="1491615"/>
                        </a:xfrm>
                        <a:prstGeom prst="rect"/>
                        <a:solidFill>
                          <a:srgbClr val="FFFFFF"/>
                        </a:solidFill>
                      </wps:spPr>
                      <wps:txbx>
                        <w:txbxContent>
                          <w:p>
                            <w:pPr>
                              <w:pStyle w:val="TextBody"/>
                              <w:bidi w:val="0"/>
                              <w:spacing w:lineRule="auto" w:line="288" w:before="0" w:after="0"/>
                              <w:jc w:val="left"/>
                              <w:rPr>
                                <w:color w:val="000000"/>
                              </w:rPr>
                            </w:pPr>
                            <w:r>
                              <w:rPr>
                                <w:color w:val="000000"/>
                              </w:rPr>
                              <w:t>    </w:t>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12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7.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7527" w:type="dxa"/>
                        <w:jc w:val="left"/>
                        <w:tblInd w:w="0" w:type="dxa"/>
                        <w:tblLayout w:type="fixed"/>
                        <w:tblCellMar>
                          <w:top w:w="28" w:type="dxa"/>
                          <w:left w:w="28" w:type="dxa"/>
                          <w:bottom w:w="28" w:type="dxa"/>
                          <w:right w:w="28" w:type="dxa"/>
                        </w:tblCellMar>
                      </w:tblPr>
                      <w:tblGrid>
                        <w:gridCol w:w="543"/>
                        <w:gridCol w:w="478"/>
                        <w:gridCol w:w="479"/>
                        <w:gridCol w:w="343"/>
                        <w:gridCol w:w="343"/>
                        <w:gridCol w:w="349"/>
                        <w:gridCol w:w="355"/>
                        <w:gridCol w:w="355"/>
                        <w:gridCol w:w="356"/>
                        <w:gridCol w:w="209"/>
                        <w:gridCol w:w="209"/>
                        <w:gridCol w:w="211"/>
                        <w:gridCol w:w="129"/>
                        <w:gridCol w:w="129"/>
                        <w:gridCol w:w="129"/>
                        <w:gridCol w:w="850"/>
                        <w:gridCol w:w="850"/>
                        <w:gridCol w:w="1210"/>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22"/>
                              </w:rPr>
                            </w:pPr>
                            <w:r>
                              <w:rPr>
                                <w:rFonts w:ascii="Arial;sans-serif" w:hAnsi="Arial;sans-serif"/>
                                <w:b w:val="false"/>
                                <w:color w:val="000000"/>
                                <w:sz w:val="22"/>
                              </w:rPr>
                              <w:t>Inseego Corp.</w:t>
                            </w:r>
                          </w:p>
                        </w:tc>
                        <w:tc>
                          <w:tcPr>
                            <w:tcW w:w="10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Title:</w:t>
                            </w:r>
                          </w:p>
                        </w:tc>
                        <w:tc>
                          <w:tcPr>
                            <w:tcW w:w="4992" w:type="dxa"/>
                            <w:gridSpan w:val="12"/>
                            <w:tcBorders>
                              <w:top w:val="single" w:sz="4" w:space="0" w:color="000000"/>
                              <w:right w:val="single" w:sz="4" w:space="0" w:color="000000"/>
                            </w:tcBorders>
                            <w:tcMar>
                              <w:top w:w="30" w:type="dxa"/>
                              <w:left w:w="0" w:type="dxa"/>
                              <w:bottom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Insider Trading</w:t>
                            </w:r>
                          </w:p>
                        </w:tc>
                      </w:tr>
                      <w:tr>
                        <w:trPr/>
                        <w:tc>
                          <w:tcPr>
                            <w:tcW w:w="1500"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0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Doc. No.:</w:t>
                            </w:r>
                          </w:p>
                          <w:p>
                            <w:pPr>
                              <w:pStyle w:val="TableContents"/>
                              <w:bidi w:val="0"/>
                              <w:spacing w:lineRule="auto" w:line="288" w:before="40" w:after="40"/>
                              <w:jc w:val="right"/>
                              <w:rPr>
                                <w:rFonts w:ascii="Arial;sans-serif" w:hAnsi="Arial;sans-serif"/>
                                <w:b w:val="false"/>
                                <w:color w:val="000000"/>
                                <w:sz w:val="22"/>
                              </w:rPr>
                            </w:pPr>
                            <w:r>
                              <w:rPr>
                                <w:rFonts w:ascii="Arial;sans-serif" w:hAnsi="Arial;sans-serif"/>
                                <w:b w:val="false"/>
                                <w:color w:val="000000"/>
                                <w:sz w:val="22"/>
                              </w:rPr>
                              <w:t>Legal</w:t>
                            </w:r>
                          </w:p>
                        </w:tc>
                        <w:tc>
                          <w:tcPr>
                            <w:tcW w:w="10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40" w:after="40"/>
                              <w:jc w:val="left"/>
                              <w:rPr/>
                            </w:pPr>
                            <w:r>
                              <w:rPr/>
                            </w:r>
                          </w:p>
                          <w:p>
                            <w:pPr>
                              <w:pStyle w:val="TableContents"/>
                              <w:bidi w:val="0"/>
                              <w:spacing w:lineRule="auto" w:line="288" w:before="40" w:after="40"/>
                              <w:jc w:val="left"/>
                              <w:rPr>
                                <w:rFonts w:ascii="Arial;sans-serif" w:hAnsi="Arial;sans-serif"/>
                                <w:b w:val="false"/>
                                <w:color w:val="000000"/>
                                <w:sz w:val="22"/>
                              </w:rPr>
                            </w:pPr>
                            <w:r>
                              <w:rPr>
                                <w:rFonts w:ascii="Arial;sans-serif" w:hAnsi="Arial;sans-serif"/>
                                <w:b w:val="false"/>
                                <w:color w:val="000000"/>
                                <w:sz w:val="22"/>
                              </w:rPr>
                              <w:t>03.002.02</w:t>
                            </w:r>
                          </w:p>
                        </w:tc>
                        <w:tc>
                          <w:tcPr>
                            <w:tcW w:w="6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Arial;sans-serif" w:hAnsi="Arial;sans-serif"/>
                                <w:b w:val="false"/>
                                <w:color w:val="000000"/>
                                <w:sz w:val="22"/>
                              </w:rPr>
                            </w:pPr>
                            <w:r>
                              <w:rPr>
                                <w:rFonts w:ascii="Arial;sans-serif" w:hAnsi="Arial;sans-serif"/>
                                <w:b w:val="false"/>
                                <w:color w:val="000000"/>
                                <w:sz w:val="22"/>
                              </w:rPr>
                              <w:t>Rev.:</w:t>
                            </w:r>
                          </w:p>
                        </w:tc>
                        <w:tc>
                          <w:tcPr>
                            <w:tcW w:w="3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8</w:t>
                            </w:r>
                          </w:p>
                        </w:tc>
                        <w:tc>
                          <w:tcPr>
                            <w:tcW w:w="29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40" w:after="40"/>
                              <w:jc w:val="center"/>
                              <w:rPr>
                                <w:rFonts w:ascii="Arial;sans-serif" w:hAnsi="Arial;sans-serif"/>
                                <w:b w:val="false"/>
                                <w:color w:val="000000"/>
                                <w:sz w:val="22"/>
                              </w:rPr>
                            </w:pPr>
                            <w:r>
                              <w:rPr>
                                <w:rFonts w:ascii="Arial;sans-serif" w:hAnsi="Arial;sans-serif"/>
                                <w:b w:val="false"/>
                                <w:color w:val="000000"/>
                                <w:sz w:val="22"/>
                              </w:rPr>
                              <w:t>Page 12 of #NUM_PAGES#</w:t>
                            </w:r>
                          </w:p>
                        </w:tc>
                      </w:tr>
                    </w:tbl>
                    <w:p>
                      <w:pPr>
                        <w:pStyle w:val="TextBody"/>
                        <w:bidi w:val="0"/>
                        <w:spacing w:lineRule="auto" w:line="288" w:before="0" w:after="0"/>
                        <w:jc w:val="left"/>
                        <w:rPr>
                          <w:rFonts w:ascii="Arial Narrow;sans-serif" w:hAnsi="Arial Narrow;sans-serif"/>
                          <w:b w:val="false"/>
                          <w:color w:val="000000"/>
                          <w:sz w:val="21"/>
                        </w:rPr>
                      </w:pPr>
                      <w:r>
                        <w:rPr>
                          <w:rFonts w:ascii="Arial Narrow;sans-serif" w:hAnsi="Arial Narrow;sans-serif"/>
                          <w:b w:val="false"/>
                          <w:color w:val="000000"/>
                          <w:sz w:val="21"/>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tbl>
      <w:tblPr>
        <w:tblW w:w="6957" w:type="dxa"/>
        <w:jc w:val="center"/>
        <w:tblInd w:w="0" w:type="dxa"/>
        <w:tblLayout w:type="fixed"/>
        <w:tblCellMar>
          <w:top w:w="28" w:type="dxa"/>
          <w:left w:w="28" w:type="dxa"/>
          <w:bottom w:w="28" w:type="dxa"/>
          <w:right w:w="28" w:type="dxa"/>
        </w:tblCellMar>
      </w:tblPr>
      <w:tblGrid>
        <w:gridCol w:w="1136"/>
        <w:gridCol w:w="999"/>
        <w:gridCol w:w="1000"/>
        <w:gridCol w:w="109"/>
        <w:gridCol w:w="109"/>
        <w:gridCol w:w="109"/>
        <w:gridCol w:w="1024"/>
        <w:gridCol w:w="1024"/>
        <w:gridCol w:w="1447"/>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Jurisdiction of Incorporation or Organization</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Wireless, Inc.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Wireless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Japan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Novatel Wireless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Novatel Wireless Asia Limited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Novatel Wireless (Italy) S.r.l.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Italy</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Novatel Wireless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North America, LLC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Oregon</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SA (Pty) Ltd.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DigiCore International Proprietary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Inseego Finance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26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Registration Statement (Form S-3 No. 333-207255) of Novatel Wireless, Inc. (predecessor issuer to Inseego Corp.);</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Registration Statement (Form S-1 No. 333-283913);</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3.the Registration Statements (Form S-3 Nos. 333-290849, 333-239728, 333- 231350, 333-228315, and 333-221404) of Inseego Corp.;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Registration Statements (Form S-8 Nos. 333-292460, 333-283914, 333-266721, 333-263381, 333-246367, 333- 226754, 333-214965, 333-207233, 333-202648, 333-190879, 333-176489, 333-163033, 333-145482, 333-139730, and 333-53692) of Inseego Corp.,</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of our reports dated February 19, 2026 with respect to the consolidated financial statements of Inseego Corp. (the “Company”)) and the effectiveness of internal control over financial reporting of the Company included in this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CBIZ CPAs P.C.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Philadelphia, Pennsylvania</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February 19,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260"/>
        <w:jc w:val="right"/>
        <w:rPr>
          <w:rFonts w:ascii="Times New Roman;serif" w:hAnsi="Times New Roman;serif"/>
          <w:b/>
          <w:color w:val="000000"/>
          <w:sz w:val="24"/>
        </w:rPr>
      </w:pPr>
      <w:r>
        <w:rPr>
          <w:rFonts w:ascii="Times New Roman;serif" w:hAnsi="Times New Roman;serif"/>
          <w:b/>
          <w:color w:val="000000"/>
          <w:sz w:val="24"/>
        </w:rPr>
        <w:t>Exhibit 23.2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Registration Statement (Form S-3 No. 333-207255) of Novatel Wireless, Inc. (predecessor issuer to Inseego Corp.);</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2.the Registration Statement (Form S-1 No. 333-283913);</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3.the Registration Statements (Form S-3 Nos. 333-290849, 333-239728, 333- 231350, 333-228315, and 333-221404) of Inseego Corp.;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4.the Registration Statements (Form S-8 Nos. 333-292460, 333-283914, 333-266721, 333-263381, 333-246367, 333- 226754, 333-214965, 333-207233, 333-202648, 333-190879, 333-176489, 333-163033, 333-145482, 333-139730, and 333-53692) of Inseego Corp.,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of our report</w:t>
      </w:r>
      <w:r>
        <w:rPr>
          <w:color w:val="000000"/>
        </w:rPr>
        <w:t xml:space="preserve"> </w:t>
      </w:r>
      <w:r>
        <w:rPr>
          <w:rFonts w:ascii="Times New Roman;serif" w:hAnsi="Times New Roman;serif"/>
          <w:b w:val="false"/>
          <w:color w:val="000000"/>
          <w:sz w:val="24"/>
        </w:rPr>
        <w:t>dated February 19, 2025, with respect to the consolidated financial statements of Inseego Corp. included in this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MARCUM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Philadelphia, PA</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February 19,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Juho Sarvikas, certify that: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Inseego Corp.;</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19, 2026 </w:t>
      </w:r>
    </w:p>
    <w:tbl>
      <w:tblPr>
        <w:tblW w:w="2444" w:type="dxa"/>
        <w:jc w:val="center"/>
        <w:tblInd w:w="0" w:type="dxa"/>
        <w:tblLayout w:type="fixed"/>
        <w:tblCellMar>
          <w:top w:w="28" w:type="dxa"/>
          <w:left w:w="28" w:type="dxa"/>
          <w:bottom w:w="28" w:type="dxa"/>
          <w:right w:w="28" w:type="dxa"/>
        </w:tblCellMar>
      </w:tblPr>
      <w:tblGrid>
        <w:gridCol w:w="781"/>
        <w:gridCol w:w="686"/>
        <w:gridCol w:w="977"/>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60" w:after="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adopted pursuant to 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Steven Gatoff, certify that: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Inseego Corp.;</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8" w:before="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6"/>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19, 2026 </w:t>
      </w:r>
    </w:p>
    <w:tbl>
      <w:tblPr>
        <w:tblW w:w="2430" w:type="dxa"/>
        <w:jc w:val="center"/>
        <w:tblInd w:w="0" w:type="dxa"/>
        <w:tblLayout w:type="fixed"/>
        <w:tblCellMar>
          <w:top w:w="28" w:type="dxa"/>
          <w:left w:w="28" w:type="dxa"/>
          <w:bottom w:w="28" w:type="dxa"/>
          <w:right w:w="28" w:type="dxa"/>
        </w:tblCellMar>
      </w:tblPr>
      <w:tblGrid>
        <w:gridCol w:w="777"/>
        <w:gridCol w:w="683"/>
        <w:gridCol w:w="97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6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88" w:before="2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6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0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140"/>
        <w:jc w:val="left"/>
        <w:rPr>
          <w:rFonts w:ascii="Times New Roman;serif" w:hAnsi="Times New Roman;serif"/>
          <w:b w:val="false"/>
          <w:color w:val="000000"/>
          <w:sz w:val="20"/>
        </w:rPr>
      </w:pPr>
      <w:r>
        <w:rPr>
          <w:rFonts w:ascii="Times New Roman;serif" w:hAnsi="Times New Roman;serif"/>
          <w:b w:val="false"/>
          <w:color w:val="000000"/>
          <w:sz w:val="20"/>
        </w:rPr>
        <w:t>I, Juho Sarvikas, Chief Executive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of the Company for the year ended December 31,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19, 2026 </w:t>
      </w:r>
    </w:p>
    <w:tbl>
      <w:tblPr>
        <w:tblW w:w="2444" w:type="dxa"/>
        <w:jc w:val="center"/>
        <w:tblInd w:w="0" w:type="dxa"/>
        <w:tblLayout w:type="fixed"/>
        <w:tblCellMar>
          <w:top w:w="28" w:type="dxa"/>
          <w:left w:w="28" w:type="dxa"/>
          <w:bottom w:w="28" w:type="dxa"/>
          <w:right w:w="28" w:type="dxa"/>
        </w:tblCellMar>
      </w:tblPr>
      <w:tblGrid>
        <w:gridCol w:w="781"/>
        <w:gridCol w:w="686"/>
        <w:gridCol w:w="977"/>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JUHO SARVIKAS</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Juho Sarvikas</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60" w:after="140"/>
        <w:jc w:val="left"/>
        <w:rPr>
          <w:rFonts w:ascii="Times New Roman;serif" w:hAnsi="Times New Roman;serif"/>
          <w:b w:val="false"/>
          <w:color w:val="000000"/>
          <w:sz w:val="20"/>
        </w:rPr>
      </w:pPr>
      <w:r>
        <w:rPr>
          <w:rFonts w:ascii="Times New Roman;serif" w:hAnsi="Times New Roman;serif"/>
          <w:b w:val="false"/>
          <w:color w:val="000000"/>
          <w:sz w:val="20"/>
        </w:rPr>
        <w:t>I, Steven Gatoff, Chief Financial Officer of Inseego Corp. (the “Company”), do hereby certify, pursuant to 18 U.S.C. Section 1350, as adopted pursuant to Section 906 of the Sarbanes-Oxley Act of 2002, that to the best of my knowledge: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1"/>
        <w:gridCol w:w="2691"/>
        <w:gridCol w:w="3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of the Company for the year ended December 31, 2025 (the “Report”) fully complies with the requirements of Section 13(a) or 15(d) of the Securities Exchange Act of 1934, as amended;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3"/>
        <w:gridCol w:w="2693"/>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19, 2026 </w:t>
      </w:r>
    </w:p>
    <w:tbl>
      <w:tblPr>
        <w:tblW w:w="2430" w:type="dxa"/>
        <w:jc w:val="center"/>
        <w:tblInd w:w="0" w:type="dxa"/>
        <w:tblLayout w:type="fixed"/>
        <w:tblCellMar>
          <w:top w:w="28" w:type="dxa"/>
          <w:left w:w="28" w:type="dxa"/>
          <w:bottom w:w="28" w:type="dxa"/>
          <w:right w:w="28" w:type="dxa"/>
        </w:tblCellMar>
      </w:tblPr>
      <w:tblGrid>
        <w:gridCol w:w="777"/>
        <w:gridCol w:w="683"/>
        <w:gridCol w:w="970"/>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STEVEN GATOFF</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0"/>
              <w:jc w:val="left"/>
              <w:rPr>
                <w:rFonts w:ascii="Times New Roman;serif" w:hAnsi="Times New Roman;serif"/>
                <w:b/>
                <w:color w:val="000000"/>
                <w:sz w:val="20"/>
              </w:rPr>
            </w:pPr>
            <w:r>
              <w:rPr>
                <w:rFonts w:ascii="Times New Roman;serif" w:hAnsi="Times New Roman;serif"/>
                <w:b/>
                <w:color w:val="000000"/>
                <w:sz w:val="20"/>
              </w:rPr>
              <w:t>Steven Gatoff</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p>
            <w:pPr>
              <w:pStyle w:val="TableContents"/>
              <w:bidi w:val="0"/>
              <w:spacing w:lineRule="auto" w:line="288"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22652/000119312516763609/d261554dex31.htm" TargetMode="External"/><Relationship Id="rId3" Type="http://schemas.openxmlformats.org/officeDocument/2006/relationships/hyperlink" Target="https://www.sec.gov/Archives/edgar/data/1022652/000102265225000012/insg20250331ex32-amendedan.htm" TargetMode="External"/><Relationship Id="rId4" Type="http://schemas.openxmlformats.org/officeDocument/2006/relationships/hyperlink" Target="http://www.sec.gov/Archives/edgar/data/1022652/000119312519219943/d792529dex31.htm" TargetMode="External"/><Relationship Id="rId5" Type="http://schemas.openxmlformats.org/officeDocument/2006/relationships/hyperlink" Target="http://www.sec.gov/Archives/edgar/data/1022652/000119312520067668/d824727dex31.htm" TargetMode="External"/><Relationship Id="rId6" Type="http://schemas.openxmlformats.org/officeDocument/2006/relationships/hyperlink" Target="https://www.sec.gov/Archives/edgar/data/1022652/000168316824000396/inseego_ex0301.htm" TargetMode="External"/><Relationship Id="rId7" Type="http://schemas.openxmlformats.org/officeDocument/2006/relationships/hyperlink" Target="http://www.sec.gov/Archives/edgar/data/1022652/000119312516763609/d261554dex41.htm" TargetMode="External"/><Relationship Id="rId8" Type="http://schemas.openxmlformats.org/officeDocument/2006/relationships/hyperlink" Target="https://www.sec.gov/Archives/edgar/data/1022652/000102265221000017/insg20201231ex42-descrofeq.htm" TargetMode="External"/><Relationship Id="rId9" Type="http://schemas.openxmlformats.org/officeDocument/2006/relationships/hyperlink" Target="https://www.sec.gov/Archives/edgar/data/1022652/000119312520140582/d915288dex41.htm" TargetMode="External"/><Relationship Id="rId10" Type="http://schemas.openxmlformats.org/officeDocument/2006/relationships/hyperlink" Target="https://www.sec.gov/Archives/edgar/data/1022652/000119312520140582/d915288dex42.htm" TargetMode="External"/><Relationship Id="rId11" Type="http://schemas.openxmlformats.org/officeDocument/2006/relationships/hyperlink" Target="https://www.sec.gov/Archives/edgar/data/1022652/000119312520140582/d915288dex42.htm" TargetMode="External"/><Relationship Id="rId12" Type="http://schemas.openxmlformats.org/officeDocument/2006/relationships/hyperlink" Target="http://www.sec.gov/Archives/edgar/data/1022652/000119312518240301/d590620dex43.htm" TargetMode="External"/><Relationship Id="rId13" Type="http://schemas.openxmlformats.org/officeDocument/2006/relationships/hyperlink" Target="https://www.sec.gov/Archives/edgar/data/1022652/000168316824007895/inseego_ex0401.htm" TargetMode="External"/><Relationship Id="rId14" Type="http://schemas.openxmlformats.org/officeDocument/2006/relationships/hyperlink" Target="https://www.sec.gov/Archives/edgar/data/1022652/000168316824007895/inseego_ex0402.htm" TargetMode="External"/><Relationship Id="rId15" Type="http://schemas.openxmlformats.org/officeDocument/2006/relationships/hyperlink" Target="https://www.sec.gov/Archives/edgar/data/1022652/000168316824007895/inseego_ex0402.htm" TargetMode="External"/><Relationship Id="rId16" Type="http://schemas.openxmlformats.org/officeDocument/2006/relationships/hyperlink" Target="https://www.sec.gov/Archives/edgar/data/1022652/000102265224000016/insg20240930ex101-2018omin.htm" TargetMode="External"/><Relationship Id="rId17" Type="http://schemas.openxmlformats.org/officeDocument/2006/relationships/hyperlink" Target="https://www.sec.gov/Archives/edgar/data/1022652/000102265224000016/insg20240930ex102-amendeda.htm" TargetMode="External"/><Relationship Id="rId18" Type="http://schemas.openxmlformats.org/officeDocument/2006/relationships/hyperlink" Target="http://www.sec.gov/Archives/edgar/data/1022652/000102265217000075/insg20170818ex103formofind.htm" TargetMode="External"/><Relationship Id="rId19" Type="http://schemas.openxmlformats.org/officeDocument/2006/relationships/hyperlink" Target="https://www.sec.gov/Archives/edgar/data/1022652/000168316823007498/inseego_ex1001.htm" TargetMode="External"/><Relationship Id="rId20" Type="http://schemas.openxmlformats.org/officeDocument/2006/relationships/hyperlink" Target="https://www.sec.gov/Archives/edgar/data/1022652/000102265223000035/offerlettersgatoff-9x12x20.htm" TargetMode="External"/><Relationship Id="rId21" Type="http://schemas.openxmlformats.org/officeDocument/2006/relationships/hyperlink" Target="https://www.sec.gov/Archives/edgar/data/1022652/000168316824004550/inseego_ex1003.htm" TargetMode="External"/><Relationship Id="rId22" Type="http://schemas.openxmlformats.org/officeDocument/2006/relationships/hyperlink" Target="https://www.sec.gov/Archives/edgar/data/1022652/000168316824006429/inseego_ex0201.htm" TargetMode="External"/><Relationship Id="rId23" Type="http://schemas.openxmlformats.org/officeDocument/2006/relationships/hyperlink" Target="https://www.sec.gov/Archives/edgar/data/1022652/000168316824006429/inseego_ex1001.htm" TargetMode="External"/><Relationship Id="rId24" Type="http://schemas.openxmlformats.org/officeDocument/2006/relationships/hyperlink" Target="https://www.sec.gov/Archives/edgar/data/1022652/000168316824006429/inseego_ex1002.htm" TargetMode="External"/><Relationship Id="rId25" Type="http://schemas.openxmlformats.org/officeDocument/2006/relationships/hyperlink" Target="https://www.sec.gov/ix?doc=/Archives/edgar/data/1022652/000168316824007895/inseego_8k.htm" TargetMode="External"/><Relationship Id="rId26" Type="http://schemas.openxmlformats.org/officeDocument/2006/relationships/hyperlink" Target="https://www.sec.gov/ix?doc=/Archives/edgar/data/1022652/000168316824007895/inseego_8k.htm" TargetMode="External"/><Relationship Id="rId27" Type="http://schemas.openxmlformats.org/officeDocument/2006/relationships/hyperlink" Target="https://www.sec.gov/ix?doc=/Archives/edgar/data/1022652/000168316824007895/inseego_8k.htm" TargetMode="External"/><Relationship Id="rId28" Type="http://schemas.openxmlformats.org/officeDocument/2006/relationships/hyperlink" Target="https://www.sec.gov/ix?doc=/Archives/edgar/data/1022652/000168316824007895/inseego_8k.htm" TargetMode="External"/><Relationship Id="rId29" Type="http://schemas.openxmlformats.org/officeDocument/2006/relationships/hyperlink" Target="https://www.sec.gov/Archives/edgar/data/1022652/000168316825000095/inseego_ex1001.htm" TargetMode="External"/><Relationship Id="rId30" Type="http://schemas.openxmlformats.org/officeDocument/2006/relationships/hyperlink" Target="https://www.sec.gov/Archives/edgar/data/1022652/000168316825005754/inseego_ex1001.htm" TargetMode="External"/><Relationship Id="rId31" Type="http://schemas.openxmlformats.org/officeDocument/2006/relationships/image" Target="media/image1.png"/><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image" Target="media/image4.png"/><Relationship Id="rId35" Type="http://schemas.openxmlformats.org/officeDocument/2006/relationships/image" Target="media/image5.png"/><Relationship Id="rId36" Type="http://schemas.openxmlformats.org/officeDocument/2006/relationships/image" Target="media/image2.png"/><Relationship Id="rId37" Type="http://schemas.openxmlformats.org/officeDocument/2006/relationships/image" Target="media/image3.pn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56157</Words>
  <Characters>317090</Characters>
  <CharactersWithSpaces>371048</CharactersWithSpaces>
  <Paragraphs>4038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