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ind w:left="214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124460</wp:posOffset>
            </wp:positionV>
            <wp:extent cx="15170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310" w:lineRule="exact"/>
        <w:rPr>
          <w:sz w:val="24"/>
          <w:szCs w:val="24"/>
          <w:color w:val="auto"/>
        </w:rPr>
      </w:pPr>
    </w:p>
    <w:p>
      <w:pPr>
        <w:jc w:val="center"/>
        <w:ind w:left="4300"/>
        <w:spacing w:after="0"/>
        <w:tabs>
          <w:tab w:leader="none" w:pos="400" w:val="left"/>
        </w:tabs>
        <w:rPr>
          <w:sz w:val="20"/>
          <w:szCs w:val="20"/>
          <w:color w:val="auto"/>
        </w:rPr>
      </w:pPr>
      <w:r>
        <w:rPr>
          <w:rFonts w:ascii="Arial" w:cs="Arial" w:eastAsia="Arial" w:hAnsi="Arial"/>
          <w:sz w:val="32"/>
          <w:szCs w:val="32"/>
          <w:b w:val="1"/>
          <w:bCs w:val="1"/>
          <w:color w:val="auto"/>
        </w:rPr>
        <w:t>FORM</w:t>
        <w:tab/>
        <w:t>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58420</wp:posOffset>
            </wp:positionV>
            <wp:extent cx="1517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83"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1" w:lineRule="exact"/>
        <w:rPr>
          <w:sz w:val="24"/>
          <w:szCs w:val="24"/>
          <w:color w:val="auto"/>
        </w:rPr>
      </w:pPr>
    </w:p>
    <w:tbl>
      <w:tblPr>
        <w:tblLayout w:type="fixed"/>
        <w:tblInd w:w="326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Arial" w:cs="Arial" w:eastAsia="Arial" w:hAnsi="Arial"/>
                <w:sz w:val="18"/>
                <w:szCs w:val="18"/>
                <w:b w:val="1"/>
                <w:bCs w:val="1"/>
                <w:color w:val="auto"/>
                <w:w w:val="94"/>
              </w:rPr>
              <w:t>For the transition period from</w:t>
            </w:r>
          </w:p>
        </w:tc>
        <w:tc>
          <w:tcPr>
            <w:tcW w:w="940" w:type="dxa"/>
            <w:vAlign w:val="bottom"/>
            <w:tcBorders>
              <w:bottom w:val="single" w:sz="8" w:color="auto"/>
            </w:tcBorders>
          </w:tcPr>
          <w:p>
            <w:pPr>
              <w:spacing w:after="0"/>
              <w:rPr>
                <w:sz w:val="17"/>
                <w:szCs w:val="17"/>
                <w:color w:val="auto"/>
              </w:rPr>
            </w:pPr>
          </w:p>
        </w:tc>
        <w:tc>
          <w:tcPr>
            <w:tcW w:w="340" w:type="dxa"/>
            <w:vAlign w:val="bottom"/>
          </w:tcPr>
          <w:p>
            <w:pPr>
              <w:ind w:left="140"/>
              <w:spacing w:after="0"/>
              <w:rPr>
                <w:sz w:val="20"/>
                <w:szCs w:val="20"/>
                <w:color w:val="auto"/>
              </w:rPr>
            </w:pPr>
            <w:r>
              <w:rPr>
                <w:rFonts w:ascii="Arial" w:cs="Arial" w:eastAsia="Arial" w:hAnsi="Arial"/>
                <w:sz w:val="18"/>
                <w:szCs w:val="18"/>
                <w:b w:val="1"/>
                <w:bCs w:val="1"/>
                <w:color w:val="auto"/>
              </w:rPr>
              <w:t>to</w:t>
            </w:r>
          </w:p>
        </w:tc>
        <w:tc>
          <w:tcPr>
            <w:tcW w:w="84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1"/>
        </w:trPr>
        <w:tc>
          <w:tcPr>
            <w:tcW w:w="4540" w:type="dxa"/>
            <w:vAlign w:val="bottom"/>
            <w:gridSpan w:val="4"/>
          </w:tcPr>
          <w:p>
            <w:pPr>
              <w:ind w:left="940"/>
              <w:spacing w:after="0"/>
              <w:rPr>
                <w:sz w:val="20"/>
                <w:szCs w:val="20"/>
                <w:color w:val="auto"/>
              </w:rPr>
            </w:pPr>
            <w:r>
              <w:rPr>
                <w:rFonts w:ascii="Arial" w:cs="Arial" w:eastAsia="Arial" w:hAnsi="Arial"/>
                <w:sz w:val="18"/>
                <w:szCs w:val="18"/>
                <w:b w:val="1"/>
                <w:bCs w:val="1"/>
                <w:color w:val="auto"/>
              </w:rPr>
              <w:t>Commission File Number: 001-38358</w:t>
            </w: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102870</wp:posOffset>
            </wp:positionV>
            <wp:extent cx="26657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410"/>
        </w:trPr>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40" w:type="dxa"/>
            <w:vAlign w:val="bottom"/>
            <w:gridSpan w:val="2"/>
          </w:tcPr>
          <w:p>
            <w:pPr>
              <w:jc w:val="center"/>
              <w:ind w:right="480"/>
              <w:spacing w:after="0"/>
              <w:rPr>
                <w:sz w:val="20"/>
                <w:szCs w:val="20"/>
                <w:color w:val="auto"/>
              </w:rPr>
            </w:pPr>
            <w:r>
              <w:rPr>
                <w:rFonts w:ascii="Arial" w:cs="Arial" w:eastAsia="Arial" w:hAnsi="Arial"/>
                <w:sz w:val="32"/>
                <w:szCs w:val="32"/>
                <w:b w:val="1"/>
                <w:bCs w:val="1"/>
                <w:color w:val="auto"/>
                <w:w w:val="98"/>
              </w:rPr>
              <w:t>INSEEGO CORP.</w:t>
            </w: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86"/>
        </w:trPr>
        <w:tc>
          <w:tcPr>
            <w:tcW w:w="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860" w:type="dxa"/>
            <w:vAlign w:val="bottom"/>
            <w:gridSpan w:val="3"/>
          </w:tcPr>
          <w:p>
            <w:pPr>
              <w:jc w:val="center"/>
              <w:ind w:left="28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40" w:type="dxa"/>
            <w:vAlign w:val="bottom"/>
          </w:tcPr>
          <w:p>
            <w:pPr>
              <w:spacing w:after="0"/>
              <w:rPr>
                <w:sz w:val="16"/>
                <w:szCs w:val="16"/>
                <w:color w:val="auto"/>
              </w:rPr>
            </w:pPr>
          </w:p>
        </w:tc>
        <w:tc>
          <w:tcPr>
            <w:tcW w:w="3460" w:type="dxa"/>
            <w:vAlign w:val="bottom"/>
          </w:tcPr>
          <w:p>
            <w:pPr>
              <w:spacing w:after="0"/>
              <w:rPr>
                <w:sz w:val="16"/>
                <w:szCs w:val="16"/>
                <w:color w:val="auto"/>
              </w:rPr>
            </w:pPr>
          </w:p>
        </w:tc>
      </w:tr>
      <w:tr>
        <w:trPr>
          <w:trHeight w:val="26"/>
        </w:trPr>
        <w:tc>
          <w:tcPr>
            <w:tcW w:w="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60" w:type="dxa"/>
            <w:vAlign w:val="bottom"/>
          </w:tcPr>
          <w:p>
            <w:pPr>
              <w:spacing w:after="0"/>
              <w:rPr>
                <w:sz w:val="2"/>
                <w:szCs w:val="2"/>
                <w:color w:val="auto"/>
              </w:rPr>
            </w:pPr>
          </w:p>
        </w:tc>
      </w:tr>
      <w:tr>
        <w:trPr>
          <w:trHeight w:val="335"/>
        </w:trPr>
        <w:tc>
          <w:tcPr>
            <w:tcW w:w="60" w:type="dxa"/>
            <w:vAlign w:val="bottom"/>
          </w:tcPr>
          <w:p>
            <w:pPr>
              <w:spacing w:after="0"/>
              <w:rPr>
                <w:sz w:val="24"/>
                <w:szCs w:val="24"/>
                <w:color w:val="auto"/>
              </w:rPr>
            </w:pPr>
          </w:p>
        </w:tc>
        <w:tc>
          <w:tcPr>
            <w:tcW w:w="4340" w:type="dxa"/>
            <w:vAlign w:val="bottom"/>
            <w:gridSpan w:val="2"/>
          </w:tcPr>
          <w:p>
            <w:pPr>
              <w:jc w:val="center"/>
              <w:ind w:left="976"/>
              <w:spacing w:after="0"/>
              <w:rPr>
                <w:sz w:val="20"/>
                <w:szCs w:val="20"/>
                <w:color w:val="auto"/>
              </w:rPr>
            </w:pPr>
            <w:r>
              <w:rPr>
                <w:rFonts w:ascii="Arial" w:cs="Arial" w:eastAsia="Arial" w:hAnsi="Arial"/>
                <w:sz w:val="18"/>
                <w:szCs w:val="18"/>
                <w:b w:val="1"/>
                <w:bCs w:val="1"/>
                <w:color w:val="auto"/>
                <w:w w:val="91"/>
              </w:rPr>
              <w:t>Delaware</w:t>
            </w: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right"/>
              <w:ind w:right="2144"/>
              <w:spacing w:after="0"/>
              <w:rPr>
                <w:sz w:val="20"/>
                <w:szCs w:val="20"/>
                <w:color w:val="auto"/>
              </w:rPr>
            </w:pPr>
            <w:r>
              <w:rPr>
                <w:rFonts w:ascii="Arial" w:cs="Arial" w:eastAsia="Arial" w:hAnsi="Arial"/>
                <w:sz w:val="18"/>
                <w:szCs w:val="18"/>
                <w:b w:val="1"/>
                <w:bCs w:val="1"/>
                <w:color w:val="auto"/>
              </w:rPr>
              <w:t>81-3377646</w:t>
            </w:r>
          </w:p>
        </w:tc>
      </w:tr>
      <w:tr>
        <w:trPr>
          <w:trHeight w:val="144"/>
        </w:trPr>
        <w:tc>
          <w:tcPr>
            <w:tcW w:w="60" w:type="dxa"/>
            <w:vAlign w:val="bottom"/>
          </w:tcPr>
          <w:p>
            <w:pPr>
              <w:spacing w:after="0"/>
              <w:rPr>
                <w:sz w:val="12"/>
                <w:szCs w:val="12"/>
                <w:color w:val="auto"/>
              </w:rPr>
            </w:pPr>
          </w:p>
        </w:tc>
        <w:tc>
          <w:tcPr>
            <w:tcW w:w="4340" w:type="dxa"/>
            <w:vAlign w:val="bottom"/>
            <w:gridSpan w:val="2"/>
          </w:tcPr>
          <w:p>
            <w:pPr>
              <w:jc w:val="center"/>
              <w:ind w:left="976"/>
              <w:spacing w:after="0" w:line="144" w:lineRule="exact"/>
              <w:rPr>
                <w:sz w:val="20"/>
                <w:szCs w:val="20"/>
                <w:color w:val="auto"/>
              </w:rPr>
            </w:pPr>
            <w:r>
              <w:rPr>
                <w:rFonts w:ascii="Arial" w:cs="Arial" w:eastAsia="Arial" w:hAnsi="Arial"/>
                <w:sz w:val="14"/>
                <w:szCs w:val="14"/>
                <w:b w:val="1"/>
                <w:bCs w:val="1"/>
                <w:color w:val="auto"/>
                <w:w w:val="94"/>
              </w:rPr>
              <w:t>(State or Other Jurisdiction</w:t>
            </w: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60" w:type="dxa"/>
            <w:vAlign w:val="bottom"/>
          </w:tcPr>
          <w:p>
            <w:pPr>
              <w:jc w:val="center"/>
              <w:ind w:right="1744"/>
              <w:spacing w:after="0" w:line="144"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 w:type="dxa"/>
            <w:vAlign w:val="bottom"/>
          </w:tcPr>
          <w:p>
            <w:pPr>
              <w:spacing w:after="0"/>
              <w:rPr>
                <w:sz w:val="16"/>
                <w:szCs w:val="16"/>
                <w:color w:val="auto"/>
              </w:rPr>
            </w:pPr>
          </w:p>
        </w:tc>
        <w:tc>
          <w:tcPr>
            <w:tcW w:w="4340" w:type="dxa"/>
            <w:vAlign w:val="bottom"/>
            <w:gridSpan w:val="2"/>
          </w:tcPr>
          <w:p>
            <w:pPr>
              <w:jc w:val="center"/>
              <w:ind w:left="976"/>
              <w:spacing w:after="0"/>
              <w:rPr>
                <w:sz w:val="20"/>
                <w:szCs w:val="20"/>
                <w:color w:val="auto"/>
              </w:rPr>
            </w:pPr>
            <w:r>
              <w:rPr>
                <w:rFonts w:ascii="Arial" w:cs="Arial" w:eastAsia="Arial" w:hAnsi="Arial"/>
                <w:sz w:val="14"/>
                <w:szCs w:val="14"/>
                <w:b w:val="1"/>
                <w:bCs w:val="1"/>
                <w:color w:val="auto"/>
                <w:w w:val="94"/>
              </w:rPr>
              <w:t>of Incorporation or Organization)</w:t>
            </w: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60" w:type="dxa"/>
            <w:vAlign w:val="bottom"/>
          </w:tcPr>
          <w:p>
            <w:pPr>
              <w:jc w:val="center"/>
              <w:ind w:right="1744"/>
              <w:spacing w:after="0"/>
              <w:rPr>
                <w:sz w:val="20"/>
                <w:szCs w:val="20"/>
                <w:color w:val="auto"/>
              </w:rPr>
            </w:pPr>
            <w:r>
              <w:rPr>
                <w:rFonts w:ascii="Arial" w:cs="Arial" w:eastAsia="Arial" w:hAnsi="Arial"/>
                <w:sz w:val="14"/>
                <w:szCs w:val="14"/>
                <w:b w:val="1"/>
                <w:bCs w:val="1"/>
                <w:color w:val="auto"/>
                <w:w w:val="94"/>
              </w:rPr>
              <w:t>Identification No.)</w:t>
            </w:r>
          </w:p>
        </w:tc>
      </w:tr>
      <w:tr>
        <w:trPr>
          <w:trHeight w:val="281"/>
        </w:trPr>
        <w:tc>
          <w:tcPr>
            <w:tcW w:w="60" w:type="dxa"/>
            <w:vAlign w:val="bottom"/>
          </w:tcPr>
          <w:p>
            <w:pPr>
              <w:spacing w:after="0"/>
              <w:rPr>
                <w:sz w:val="24"/>
                <w:szCs w:val="24"/>
                <w:color w:val="auto"/>
              </w:rPr>
            </w:pPr>
          </w:p>
        </w:tc>
        <w:tc>
          <w:tcPr>
            <w:tcW w:w="4340" w:type="dxa"/>
            <w:vAlign w:val="bottom"/>
            <w:gridSpan w:val="2"/>
          </w:tcPr>
          <w:p>
            <w:pPr>
              <w:jc w:val="center"/>
              <w:ind w:left="976"/>
              <w:spacing w:after="0"/>
              <w:rPr>
                <w:sz w:val="20"/>
                <w:szCs w:val="20"/>
                <w:color w:val="auto"/>
              </w:rPr>
            </w:pPr>
            <w:r>
              <w:rPr>
                <w:rFonts w:ascii="Arial" w:cs="Arial" w:eastAsia="Arial" w:hAnsi="Arial"/>
                <w:sz w:val="18"/>
                <w:szCs w:val="18"/>
                <w:b w:val="1"/>
                <w:bCs w:val="1"/>
                <w:color w:val="auto"/>
                <w:w w:val="90"/>
              </w:rPr>
              <w:t>12600 Deerfield Parkway, Suite 100</w:t>
            </w: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25"/>
        </w:trPr>
        <w:tc>
          <w:tcPr>
            <w:tcW w:w="60" w:type="dxa"/>
            <w:vAlign w:val="bottom"/>
          </w:tcPr>
          <w:p>
            <w:pPr>
              <w:spacing w:after="0"/>
              <w:rPr>
                <w:sz w:val="19"/>
                <w:szCs w:val="19"/>
                <w:color w:val="auto"/>
              </w:rPr>
            </w:pPr>
          </w:p>
        </w:tc>
        <w:tc>
          <w:tcPr>
            <w:tcW w:w="4340" w:type="dxa"/>
            <w:vAlign w:val="bottom"/>
            <w:gridSpan w:val="2"/>
          </w:tcPr>
          <w:p>
            <w:pPr>
              <w:ind w:left="1800"/>
              <w:spacing w:after="0"/>
              <w:rPr>
                <w:sz w:val="20"/>
                <w:szCs w:val="20"/>
                <w:color w:val="auto"/>
              </w:rPr>
            </w:pPr>
            <w:r>
              <w:rPr>
                <w:rFonts w:ascii="Arial" w:cs="Arial" w:eastAsia="Arial" w:hAnsi="Arial"/>
                <w:sz w:val="18"/>
                <w:szCs w:val="18"/>
                <w:b w:val="1"/>
                <w:bCs w:val="1"/>
                <w:color w:val="auto"/>
              </w:rPr>
              <w:t>Alpharetta, Georgia</w:t>
            </w: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jc w:val="right"/>
              <w:ind w:right="2344"/>
              <w:spacing w:after="0"/>
              <w:rPr>
                <w:sz w:val="20"/>
                <w:szCs w:val="20"/>
                <w:color w:val="auto"/>
              </w:rPr>
            </w:pPr>
            <w:r>
              <w:rPr>
                <w:rFonts w:ascii="Arial" w:cs="Arial" w:eastAsia="Arial" w:hAnsi="Arial"/>
                <w:sz w:val="18"/>
                <w:szCs w:val="18"/>
                <w:b w:val="1"/>
                <w:bCs w:val="1"/>
                <w:color w:val="auto"/>
              </w:rPr>
              <w:t>30004</w:t>
            </w:r>
          </w:p>
        </w:tc>
      </w:tr>
      <w:tr>
        <w:trPr>
          <w:trHeight w:val="186"/>
        </w:trPr>
        <w:tc>
          <w:tcPr>
            <w:tcW w:w="60" w:type="dxa"/>
            <w:vAlign w:val="bottom"/>
          </w:tcPr>
          <w:p>
            <w:pPr>
              <w:spacing w:after="0"/>
              <w:rPr>
                <w:sz w:val="16"/>
                <w:szCs w:val="16"/>
                <w:color w:val="auto"/>
              </w:rPr>
            </w:pPr>
          </w:p>
        </w:tc>
        <w:tc>
          <w:tcPr>
            <w:tcW w:w="4340" w:type="dxa"/>
            <w:vAlign w:val="bottom"/>
            <w:gridSpan w:val="2"/>
          </w:tcPr>
          <w:p>
            <w:pPr>
              <w:jc w:val="center"/>
              <w:ind w:left="996"/>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60" w:type="dxa"/>
            <w:vAlign w:val="bottom"/>
          </w:tcPr>
          <w:p>
            <w:pPr>
              <w:jc w:val="center"/>
              <w:ind w:right="1764"/>
              <w:spacing w:after="0"/>
              <w:rPr>
                <w:sz w:val="20"/>
                <w:szCs w:val="20"/>
                <w:color w:val="auto"/>
              </w:rPr>
            </w:pPr>
            <w:r>
              <w:rPr>
                <w:rFonts w:ascii="Arial" w:cs="Arial" w:eastAsia="Arial" w:hAnsi="Arial"/>
                <w:sz w:val="14"/>
                <w:szCs w:val="14"/>
                <w:b w:val="1"/>
                <w:bCs w:val="1"/>
                <w:color w:val="auto"/>
                <w:w w:val="95"/>
              </w:rPr>
              <w:t>(Zip Code)</w:t>
            </w:r>
          </w:p>
        </w:tc>
      </w:tr>
      <w:tr>
        <w:trPr>
          <w:trHeight w:val="323"/>
        </w:trPr>
        <w:tc>
          <w:tcPr>
            <w:tcW w:w="60" w:type="dxa"/>
            <w:vAlign w:val="bottom"/>
          </w:tcPr>
          <w:p>
            <w:pPr>
              <w:spacing w:after="0"/>
              <w:rPr>
                <w:sz w:val="24"/>
                <w:szCs w:val="24"/>
                <w:color w:val="auto"/>
              </w:rPr>
            </w:pPr>
          </w:p>
        </w:tc>
        <w:tc>
          <w:tcPr>
            <w:tcW w:w="11180" w:type="dxa"/>
            <w:vAlign w:val="bottom"/>
            <w:gridSpan w:val="6"/>
          </w:tcPr>
          <w:p>
            <w:pPr>
              <w:ind w:left="2980"/>
              <w:spacing w:after="0"/>
              <w:rPr>
                <w:sz w:val="20"/>
                <w:szCs w:val="20"/>
                <w:color w:val="auto"/>
              </w:rPr>
            </w:pPr>
            <w:r>
              <w:rPr>
                <w:rFonts w:ascii="Arial" w:cs="Arial" w:eastAsia="Arial" w:hAnsi="Arial"/>
                <w:sz w:val="18"/>
                <w:szCs w:val="18"/>
                <w:b w:val="1"/>
                <w:bCs w:val="1"/>
                <w:color w:val="auto"/>
              </w:rPr>
              <w:t>Registrant’s telephone number, including area code: (858) 812-3400</w:t>
            </w:r>
          </w:p>
        </w:tc>
      </w:tr>
      <w:tr>
        <w:trPr>
          <w:trHeight w:val="324"/>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08"/>
        </w:trPr>
        <w:tc>
          <w:tcPr>
            <w:tcW w:w="60" w:type="dxa"/>
            <w:vAlign w:val="bottom"/>
          </w:tcPr>
          <w:p>
            <w:pPr>
              <w:spacing w:after="0"/>
              <w:rPr>
                <w:sz w:val="9"/>
                <w:szCs w:val="9"/>
                <w:color w:val="auto"/>
              </w:rPr>
            </w:pPr>
          </w:p>
        </w:tc>
        <w:tc>
          <w:tcPr>
            <w:tcW w:w="4340" w:type="dxa"/>
            <w:vAlign w:val="bottom"/>
            <w:tcBorders>
              <w:bottom w:val="single" w:sz="8" w:color="auto"/>
            </w:tcBorders>
            <w:gridSpan w:val="2"/>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gridSpan w:val="2"/>
          </w:tcPr>
          <w:p>
            <w:pPr>
              <w:spacing w:after="0"/>
              <w:rPr>
                <w:sz w:val="9"/>
                <w:szCs w:val="9"/>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43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Title of each class</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220" w:type="dxa"/>
            <w:vAlign w:val="bottom"/>
            <w:tcBorders>
              <w:bottom w:val="single" w:sz="8" w:color="auto"/>
            </w:tcBorders>
          </w:tcPr>
          <w:p>
            <w:pPr>
              <w:spacing w:after="0"/>
              <w:rPr>
                <w:sz w:val="19"/>
                <w:szCs w:val="19"/>
                <w:color w:val="auto"/>
              </w:rPr>
            </w:pPr>
          </w:p>
        </w:tc>
        <w:tc>
          <w:tcPr>
            <w:tcW w:w="3800" w:type="dxa"/>
            <w:vAlign w:val="bottom"/>
            <w:tcBorders>
              <w:bottom w:val="single" w:sz="8" w:color="auto"/>
              <w:right w:val="single" w:sz="8" w:color="auto"/>
            </w:tcBorders>
            <w:gridSpan w:val="2"/>
          </w:tcPr>
          <w:p>
            <w:pPr>
              <w:jc w:val="center"/>
              <w:ind w:right="184"/>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60" w:type="dxa"/>
            <w:vAlign w:val="bottom"/>
            <w:tcBorders>
              <w:right w:val="single" w:sz="8" w:color="auto"/>
            </w:tcBorders>
          </w:tcPr>
          <w:p>
            <w:pPr>
              <w:spacing w:after="0"/>
              <w:rPr>
                <w:sz w:val="19"/>
                <w:szCs w:val="19"/>
                <w:color w:val="auto"/>
              </w:rPr>
            </w:pPr>
          </w:p>
        </w:tc>
        <w:tc>
          <w:tcPr>
            <w:tcW w:w="43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INSG</w:t>
            </w: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460" w:type="dxa"/>
            <w:vAlign w:val="bottom"/>
            <w:tcBorders>
              <w:bottom w:val="single" w:sz="8" w:color="auto"/>
              <w:right w:val="single" w:sz="8" w:color="auto"/>
            </w:tcBorders>
          </w:tcPr>
          <w:p>
            <w:pPr>
              <w:jc w:val="center"/>
              <w:ind w:right="504"/>
              <w:spacing w:after="0"/>
              <w:rPr>
                <w:sz w:val="20"/>
                <w:szCs w:val="20"/>
                <w:color w:val="auto"/>
              </w:rPr>
            </w:pPr>
            <w:r>
              <w:rPr>
                <w:rFonts w:ascii="Arial" w:cs="Arial" w:eastAsia="Arial" w:hAnsi="Arial"/>
                <w:sz w:val="18"/>
                <w:szCs w:val="18"/>
                <w:color w:val="auto"/>
                <w:w w:val="90"/>
              </w:rPr>
              <w:t>Nasdaq Global Select Market</w:t>
            </w:r>
          </w:p>
        </w:tc>
      </w:tr>
    </w:tbl>
    <w:p>
      <w:pPr>
        <w:spacing w:after="0" w:line="8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0" w:lineRule="exact"/>
        <w:rPr>
          <w:sz w:val="24"/>
          <w:szCs w:val="24"/>
          <w:color w:val="auto"/>
        </w:rPr>
      </w:pPr>
    </w:p>
    <w:p>
      <w:pPr>
        <w:ind w:right="100"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8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0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0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60" w:type="dxa"/>
            <w:vAlign w:val="bottom"/>
          </w:tcPr>
          <w:p>
            <w:pPr>
              <w:ind w:left="300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40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w:t>
      </w:r>
      <w:r>
        <w:rPr>
          <w:rFonts w:ascii="Arial" w:cs="Arial" w:eastAsia="Arial" w:hAnsi="Arial"/>
          <w:sz w:val="15"/>
          <w:szCs w:val="15"/>
          <w:color w:val="auto"/>
        </w:rPr>
        <w:t>(as defined in Rule 12b-2 of the Exchange Act)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the registrant’s common stock outstanding as of April 27, 2022 was 107,397,278.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992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97"/>
        </w:trPr>
        <w:tc>
          <w:tcPr>
            <w:tcW w:w="10640" w:type="dxa"/>
            <w:vAlign w:val="bottom"/>
            <w:gridSpan w:val="2"/>
          </w:tcPr>
          <w:p>
            <w:pPr>
              <w:ind w:left="40"/>
              <w:spacing w:after="0"/>
              <w:rPr>
                <w:rFonts w:ascii="Arial" w:cs="Arial" w:eastAsia="Arial" w:hAnsi="Arial"/>
                <w:sz w:val="18"/>
                <w:szCs w:val="18"/>
                <w:color w:val="0000FF"/>
              </w:rPr>
            </w:pPr>
            <w:hyperlink w:anchor="page2">
              <w:r>
                <w:rPr>
                  <w:rFonts w:ascii="Arial" w:cs="Arial" w:eastAsia="Arial" w:hAnsi="Arial"/>
                  <w:sz w:val="18"/>
                  <w:szCs w:val="18"/>
                  <w:color w:val="0000FF"/>
                </w:rPr>
                <w:t>PART I—FINANCIAL INFORMATION</w:t>
              </w:r>
            </w:hyperlink>
          </w:p>
        </w:tc>
        <w:tc>
          <w:tcPr>
            <w:tcW w:w="580" w:type="dxa"/>
            <w:vAlign w:val="bottom"/>
          </w:tcPr>
          <w:p>
            <w:pPr>
              <w:spacing w:after="0"/>
              <w:rPr>
                <w:sz w:val="24"/>
                <w:szCs w:val="24"/>
                <w:color w:val="auto"/>
              </w:rPr>
            </w:pPr>
          </w:p>
        </w:tc>
      </w:tr>
      <w:tr>
        <w:trPr>
          <w:trHeight w:val="432"/>
        </w:trPr>
        <w:tc>
          <w:tcPr>
            <w:tcW w:w="720" w:type="dxa"/>
            <w:vAlign w:val="bottom"/>
          </w:tcPr>
          <w:p>
            <w:pPr>
              <w:ind w:left="40"/>
              <w:spacing w:after="0"/>
              <w:rPr>
                <w:sz w:val="20"/>
                <w:szCs w:val="20"/>
                <w:color w:val="auto"/>
              </w:rPr>
            </w:pPr>
            <w:r>
              <w:rPr>
                <w:rFonts w:ascii="Arial" w:cs="Arial" w:eastAsia="Arial" w:hAnsi="Arial"/>
                <w:sz w:val="18"/>
                <w:szCs w:val="18"/>
                <w:color w:val="auto"/>
              </w:rPr>
              <w:t>Item 1.</w:t>
            </w:r>
          </w:p>
        </w:tc>
        <w:tc>
          <w:tcPr>
            <w:tcW w:w="9920" w:type="dxa"/>
            <w:vAlign w:val="bottom"/>
          </w:tcPr>
          <w:p>
            <w:pPr>
              <w:ind w:left="220"/>
              <w:spacing w:after="0"/>
              <w:rPr>
                <w:rFonts w:ascii="Arial" w:cs="Arial" w:eastAsia="Arial" w:hAnsi="Arial"/>
                <w:sz w:val="18"/>
                <w:szCs w:val="18"/>
                <w:color w:val="0000FF"/>
              </w:rPr>
            </w:pPr>
            <w:hyperlink w:anchor="page2">
              <w:r>
                <w:rPr>
                  <w:rFonts w:ascii="Arial" w:cs="Arial" w:eastAsia="Arial" w:hAnsi="Arial"/>
                  <w:sz w:val="18"/>
                  <w:szCs w:val="18"/>
                  <w:color w:val="0000FF"/>
                </w:rPr>
                <w:t>Financial Statements</w:t>
              </w:r>
            </w:hyperlink>
          </w:p>
        </w:tc>
        <w:tc>
          <w:tcPr>
            <w:tcW w:w="580" w:type="dxa"/>
            <w:vAlign w:val="bottom"/>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2</w:t>
              </w:r>
            </w:hyperlink>
          </w:p>
        </w:tc>
      </w:tr>
      <w:tr>
        <w:trPr>
          <w:trHeight w:val="338"/>
        </w:trPr>
        <w:tc>
          <w:tcPr>
            <w:tcW w:w="720" w:type="dxa"/>
            <w:vAlign w:val="bottom"/>
          </w:tcPr>
          <w:p>
            <w:pPr>
              <w:spacing w:after="0"/>
              <w:rPr>
                <w:sz w:val="24"/>
                <w:szCs w:val="24"/>
                <w:color w:val="auto"/>
              </w:rPr>
            </w:pPr>
          </w:p>
        </w:tc>
        <w:tc>
          <w:tcPr>
            <w:tcW w:w="9920" w:type="dxa"/>
            <w:vAlign w:val="bottom"/>
          </w:tcPr>
          <w:p>
            <w:pPr>
              <w:ind w:left="220"/>
              <w:spacing w:after="0"/>
              <w:rPr>
                <w:rFonts w:ascii="Arial" w:cs="Arial" w:eastAsia="Arial" w:hAnsi="Arial"/>
                <w:sz w:val="18"/>
                <w:szCs w:val="18"/>
                <w:color w:val="0000FF"/>
              </w:rPr>
            </w:pPr>
            <w:hyperlink w:anchor="page2">
              <w:r>
                <w:rPr>
                  <w:rFonts w:ascii="Arial" w:cs="Arial" w:eastAsia="Arial" w:hAnsi="Arial"/>
                  <w:sz w:val="18"/>
                  <w:szCs w:val="18"/>
                  <w:color w:val="0000FF"/>
                </w:rPr>
                <w:t>Condensed Consolidated Balance Sheets (Unaudited)</w:t>
              </w:r>
            </w:hyperlink>
          </w:p>
        </w:tc>
        <w:tc>
          <w:tcPr>
            <w:tcW w:w="580" w:type="dxa"/>
            <w:vAlign w:val="bottom"/>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2</w:t>
              </w:r>
            </w:hyperlink>
          </w:p>
        </w:tc>
      </w:tr>
      <w:tr>
        <w:trPr>
          <w:trHeight w:val="338"/>
        </w:trPr>
        <w:tc>
          <w:tcPr>
            <w:tcW w:w="720" w:type="dxa"/>
            <w:vAlign w:val="bottom"/>
          </w:tcPr>
          <w:p>
            <w:pPr>
              <w:spacing w:after="0"/>
              <w:rPr>
                <w:sz w:val="24"/>
                <w:szCs w:val="24"/>
                <w:color w:val="auto"/>
              </w:rPr>
            </w:pPr>
          </w:p>
        </w:tc>
        <w:tc>
          <w:tcPr>
            <w:tcW w:w="9920" w:type="dxa"/>
            <w:vAlign w:val="bottom"/>
          </w:tcPr>
          <w:p>
            <w:pPr>
              <w:ind w:left="22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(Unaudited)</w:t>
              </w:r>
            </w:hyperlink>
          </w:p>
        </w:tc>
        <w:tc>
          <w:tcPr>
            <w:tcW w:w="58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338"/>
        </w:trPr>
        <w:tc>
          <w:tcPr>
            <w:tcW w:w="720" w:type="dxa"/>
            <w:vAlign w:val="bottom"/>
          </w:tcPr>
          <w:p>
            <w:pPr>
              <w:spacing w:after="0"/>
              <w:rPr>
                <w:sz w:val="24"/>
                <w:szCs w:val="24"/>
                <w:color w:val="auto"/>
              </w:rPr>
            </w:pPr>
          </w:p>
        </w:tc>
        <w:tc>
          <w:tcPr>
            <w:tcW w:w="9920" w:type="dxa"/>
            <w:vAlign w:val="bottom"/>
          </w:tcPr>
          <w:p>
            <w:pPr>
              <w:ind w:left="220"/>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Loss (Unaudited)</w:t>
              </w:r>
            </w:hyperlink>
          </w:p>
        </w:tc>
        <w:tc>
          <w:tcPr>
            <w:tcW w:w="58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338"/>
        </w:trPr>
        <w:tc>
          <w:tcPr>
            <w:tcW w:w="720" w:type="dxa"/>
            <w:vAlign w:val="bottom"/>
          </w:tcPr>
          <w:p>
            <w:pPr>
              <w:spacing w:after="0"/>
              <w:rPr>
                <w:sz w:val="24"/>
                <w:szCs w:val="24"/>
                <w:color w:val="auto"/>
              </w:rPr>
            </w:pPr>
          </w:p>
        </w:tc>
        <w:tc>
          <w:tcPr>
            <w:tcW w:w="9920" w:type="dxa"/>
            <w:vAlign w:val="bottom"/>
          </w:tcPr>
          <w:p>
            <w:pPr>
              <w:ind w:left="220"/>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Stockholders’ Deficit (Unaudited)</w:t>
              </w:r>
            </w:hyperlink>
          </w:p>
        </w:tc>
        <w:tc>
          <w:tcPr>
            <w:tcW w:w="58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338"/>
        </w:trPr>
        <w:tc>
          <w:tcPr>
            <w:tcW w:w="720" w:type="dxa"/>
            <w:vAlign w:val="bottom"/>
          </w:tcPr>
          <w:p>
            <w:pPr>
              <w:spacing w:after="0"/>
              <w:rPr>
                <w:sz w:val="24"/>
                <w:szCs w:val="24"/>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0000FF"/>
              </w:rPr>
              <w:t>Condensed Consolidated Statements of Cash Flows (Unaudited)</w:t>
            </w:r>
          </w:p>
        </w:tc>
        <w:tc>
          <w:tcPr>
            <w:tcW w:w="58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338"/>
        </w:trPr>
        <w:tc>
          <w:tcPr>
            <w:tcW w:w="720" w:type="dxa"/>
            <w:vAlign w:val="bottom"/>
          </w:tcPr>
          <w:p>
            <w:pPr>
              <w:spacing w:after="0"/>
              <w:rPr>
                <w:sz w:val="24"/>
                <w:szCs w:val="24"/>
                <w:color w:val="auto"/>
              </w:rPr>
            </w:pPr>
          </w:p>
        </w:tc>
        <w:tc>
          <w:tcPr>
            <w:tcW w:w="9920" w:type="dxa"/>
            <w:vAlign w:val="bottom"/>
          </w:tcPr>
          <w:p>
            <w:pPr>
              <w:ind w:left="220"/>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 (Unaudited)</w:t>
              </w:r>
            </w:hyperlink>
          </w:p>
        </w:tc>
        <w:tc>
          <w:tcPr>
            <w:tcW w:w="580" w:type="dxa"/>
            <w:vAlign w:val="bottom"/>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338"/>
        </w:trPr>
        <w:tc>
          <w:tcPr>
            <w:tcW w:w="720" w:type="dxa"/>
            <w:vAlign w:val="bottom"/>
          </w:tcPr>
          <w:p>
            <w:pPr>
              <w:ind w:left="40"/>
              <w:spacing w:after="0"/>
              <w:rPr>
                <w:sz w:val="20"/>
                <w:szCs w:val="20"/>
                <w:color w:val="auto"/>
              </w:rPr>
            </w:pPr>
            <w:r>
              <w:rPr>
                <w:rFonts w:ascii="Arial" w:cs="Arial" w:eastAsia="Arial" w:hAnsi="Arial"/>
                <w:sz w:val="18"/>
                <w:szCs w:val="18"/>
                <w:color w:val="auto"/>
              </w:rPr>
              <w:t>Item 2.</w:t>
            </w:r>
          </w:p>
        </w:tc>
        <w:tc>
          <w:tcPr>
            <w:tcW w:w="9920" w:type="dxa"/>
            <w:vAlign w:val="bottom"/>
          </w:tcPr>
          <w:p>
            <w:pPr>
              <w:ind w:left="220"/>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580" w:type="dxa"/>
            <w:vAlign w:val="bottom"/>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r>
      <w:tr>
        <w:trPr>
          <w:trHeight w:val="338"/>
        </w:trPr>
        <w:tc>
          <w:tcPr>
            <w:tcW w:w="720" w:type="dxa"/>
            <w:vAlign w:val="bottom"/>
          </w:tcPr>
          <w:p>
            <w:pPr>
              <w:ind w:left="40"/>
              <w:spacing w:after="0"/>
              <w:rPr>
                <w:sz w:val="20"/>
                <w:szCs w:val="20"/>
                <w:color w:val="auto"/>
              </w:rPr>
            </w:pPr>
            <w:r>
              <w:rPr>
                <w:rFonts w:ascii="Arial" w:cs="Arial" w:eastAsia="Arial" w:hAnsi="Arial"/>
                <w:sz w:val="18"/>
                <w:szCs w:val="18"/>
                <w:color w:val="auto"/>
              </w:rPr>
              <w:t>Item 3.</w:t>
            </w:r>
          </w:p>
        </w:tc>
        <w:tc>
          <w:tcPr>
            <w:tcW w:w="9920" w:type="dxa"/>
            <w:vAlign w:val="bottom"/>
          </w:tcPr>
          <w:p>
            <w:pPr>
              <w:ind w:left="220"/>
              <w:spacing w:after="0"/>
              <w:rPr>
                <w:rFonts w:ascii="Arial" w:cs="Arial" w:eastAsia="Arial" w:hAnsi="Arial"/>
                <w:sz w:val="18"/>
                <w:szCs w:val="18"/>
                <w:color w:val="0000FF"/>
              </w:rPr>
            </w:pPr>
            <w:hyperlink w:anchor="page30">
              <w:r>
                <w:rPr>
                  <w:rFonts w:ascii="Arial" w:cs="Arial" w:eastAsia="Arial" w:hAnsi="Arial"/>
                  <w:sz w:val="18"/>
                  <w:szCs w:val="18"/>
                  <w:color w:val="0000FF"/>
                </w:rPr>
                <w:t>Quantitative and Qualitative Disclosures About Market Risk</w:t>
              </w:r>
            </w:hyperlink>
          </w:p>
        </w:tc>
        <w:tc>
          <w:tcPr>
            <w:tcW w:w="580" w:type="dxa"/>
            <w:vAlign w:val="bottom"/>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338"/>
        </w:trPr>
        <w:tc>
          <w:tcPr>
            <w:tcW w:w="720" w:type="dxa"/>
            <w:vAlign w:val="bottom"/>
          </w:tcPr>
          <w:p>
            <w:pPr>
              <w:ind w:left="40"/>
              <w:spacing w:after="0"/>
              <w:rPr>
                <w:sz w:val="20"/>
                <w:szCs w:val="20"/>
                <w:color w:val="auto"/>
              </w:rPr>
            </w:pPr>
            <w:r>
              <w:rPr>
                <w:rFonts w:ascii="Arial" w:cs="Arial" w:eastAsia="Arial" w:hAnsi="Arial"/>
                <w:sz w:val="18"/>
                <w:szCs w:val="18"/>
                <w:color w:val="auto"/>
              </w:rPr>
              <w:t>Item 4.</w:t>
            </w:r>
          </w:p>
        </w:tc>
        <w:tc>
          <w:tcPr>
            <w:tcW w:w="9920" w:type="dxa"/>
            <w:vAlign w:val="bottom"/>
          </w:tcPr>
          <w:p>
            <w:pPr>
              <w:ind w:left="220"/>
              <w:spacing w:after="0"/>
              <w:rPr>
                <w:rFonts w:ascii="Arial" w:cs="Arial" w:eastAsia="Arial" w:hAnsi="Arial"/>
                <w:sz w:val="18"/>
                <w:szCs w:val="18"/>
                <w:color w:val="0000FF"/>
              </w:rPr>
            </w:pPr>
            <w:hyperlink w:anchor="page31">
              <w:r>
                <w:rPr>
                  <w:rFonts w:ascii="Arial" w:cs="Arial" w:eastAsia="Arial" w:hAnsi="Arial"/>
                  <w:sz w:val="18"/>
                  <w:szCs w:val="18"/>
                  <w:color w:val="0000FF"/>
                </w:rPr>
                <w:t>Controls and Procedures</w:t>
              </w:r>
            </w:hyperlink>
          </w:p>
        </w:tc>
        <w:tc>
          <w:tcPr>
            <w:tcW w:w="580" w:type="dxa"/>
            <w:vAlign w:val="bottom"/>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338"/>
        </w:trPr>
        <w:tc>
          <w:tcPr>
            <w:tcW w:w="10640" w:type="dxa"/>
            <w:vAlign w:val="bottom"/>
            <w:gridSpan w:val="2"/>
          </w:tcPr>
          <w:p>
            <w:pPr>
              <w:ind w:left="40"/>
              <w:spacing w:after="0"/>
              <w:rPr>
                <w:rFonts w:ascii="Arial" w:cs="Arial" w:eastAsia="Arial" w:hAnsi="Arial"/>
                <w:sz w:val="18"/>
                <w:szCs w:val="18"/>
                <w:color w:val="0000FF"/>
              </w:rPr>
            </w:pPr>
            <w:hyperlink w:anchor="page32">
              <w:r>
                <w:rPr>
                  <w:rFonts w:ascii="Arial" w:cs="Arial" w:eastAsia="Arial" w:hAnsi="Arial"/>
                  <w:sz w:val="18"/>
                  <w:szCs w:val="18"/>
                  <w:color w:val="0000FF"/>
                </w:rPr>
                <w:t>PART II—OTHER INFORMATION</w:t>
              </w:r>
            </w:hyperlink>
          </w:p>
        </w:tc>
        <w:tc>
          <w:tcPr>
            <w:tcW w:w="580" w:type="dxa"/>
            <w:vAlign w:val="bottom"/>
          </w:tcPr>
          <w:p>
            <w:pPr>
              <w:spacing w:after="0"/>
              <w:rPr>
                <w:sz w:val="24"/>
                <w:szCs w:val="24"/>
                <w:color w:val="auto"/>
              </w:rPr>
            </w:pPr>
          </w:p>
        </w:tc>
      </w:tr>
      <w:tr>
        <w:trPr>
          <w:trHeight w:val="338"/>
        </w:trPr>
        <w:tc>
          <w:tcPr>
            <w:tcW w:w="720" w:type="dxa"/>
            <w:vAlign w:val="bottom"/>
          </w:tcPr>
          <w:p>
            <w:pPr>
              <w:ind w:left="40"/>
              <w:spacing w:after="0"/>
              <w:rPr>
                <w:sz w:val="20"/>
                <w:szCs w:val="20"/>
                <w:color w:val="auto"/>
              </w:rPr>
            </w:pPr>
            <w:r>
              <w:rPr>
                <w:rFonts w:ascii="Arial" w:cs="Arial" w:eastAsia="Arial" w:hAnsi="Arial"/>
                <w:sz w:val="18"/>
                <w:szCs w:val="18"/>
                <w:color w:val="auto"/>
              </w:rPr>
              <w:t>Item 1.</w:t>
            </w:r>
          </w:p>
        </w:tc>
        <w:tc>
          <w:tcPr>
            <w:tcW w:w="9920" w:type="dxa"/>
            <w:vAlign w:val="bottom"/>
          </w:tcPr>
          <w:p>
            <w:pPr>
              <w:ind w:left="220"/>
              <w:spacing w:after="0"/>
              <w:rPr>
                <w:rFonts w:ascii="Arial" w:cs="Arial" w:eastAsia="Arial" w:hAnsi="Arial"/>
                <w:sz w:val="18"/>
                <w:szCs w:val="18"/>
                <w:color w:val="0000FF"/>
              </w:rPr>
            </w:pPr>
            <w:hyperlink w:anchor="page33">
              <w:r>
                <w:rPr>
                  <w:rFonts w:ascii="Arial" w:cs="Arial" w:eastAsia="Arial" w:hAnsi="Arial"/>
                  <w:sz w:val="18"/>
                  <w:szCs w:val="18"/>
                  <w:color w:val="0000FF"/>
                </w:rPr>
                <w:t>Legal Proceedings</w:t>
              </w:r>
            </w:hyperlink>
          </w:p>
        </w:tc>
        <w:tc>
          <w:tcPr>
            <w:tcW w:w="580" w:type="dxa"/>
            <w:vAlign w:val="bottom"/>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338"/>
        </w:trPr>
        <w:tc>
          <w:tcPr>
            <w:tcW w:w="720" w:type="dxa"/>
            <w:vAlign w:val="bottom"/>
          </w:tcPr>
          <w:p>
            <w:pPr>
              <w:ind w:left="40"/>
              <w:spacing w:after="0"/>
              <w:rPr>
                <w:sz w:val="20"/>
                <w:szCs w:val="20"/>
                <w:color w:val="auto"/>
              </w:rPr>
            </w:pPr>
            <w:r>
              <w:rPr>
                <w:rFonts w:ascii="Arial" w:cs="Arial" w:eastAsia="Arial" w:hAnsi="Arial"/>
                <w:sz w:val="18"/>
                <w:szCs w:val="18"/>
                <w:color w:val="auto"/>
                <w:w w:val="98"/>
              </w:rPr>
              <w:t>Item 1A.</w:t>
            </w:r>
          </w:p>
        </w:tc>
        <w:tc>
          <w:tcPr>
            <w:tcW w:w="9920" w:type="dxa"/>
            <w:vAlign w:val="bottom"/>
          </w:tcPr>
          <w:p>
            <w:pPr>
              <w:ind w:left="220"/>
              <w:spacing w:after="0"/>
              <w:rPr>
                <w:rFonts w:ascii="Arial" w:cs="Arial" w:eastAsia="Arial" w:hAnsi="Arial"/>
                <w:sz w:val="18"/>
                <w:szCs w:val="18"/>
                <w:color w:val="0000FF"/>
              </w:rPr>
            </w:pPr>
            <w:hyperlink w:anchor="page33">
              <w:r>
                <w:rPr>
                  <w:rFonts w:ascii="Arial" w:cs="Arial" w:eastAsia="Arial" w:hAnsi="Arial"/>
                  <w:sz w:val="18"/>
                  <w:szCs w:val="18"/>
                  <w:color w:val="0000FF"/>
                </w:rPr>
                <w:t>Risk Factors</w:t>
              </w:r>
            </w:hyperlink>
          </w:p>
        </w:tc>
        <w:tc>
          <w:tcPr>
            <w:tcW w:w="580" w:type="dxa"/>
            <w:vAlign w:val="bottom"/>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338"/>
        </w:trPr>
        <w:tc>
          <w:tcPr>
            <w:tcW w:w="720" w:type="dxa"/>
            <w:vAlign w:val="bottom"/>
          </w:tcPr>
          <w:p>
            <w:pPr>
              <w:ind w:left="40"/>
              <w:spacing w:after="0"/>
              <w:rPr>
                <w:sz w:val="20"/>
                <w:szCs w:val="20"/>
                <w:color w:val="auto"/>
              </w:rPr>
            </w:pPr>
            <w:r>
              <w:rPr>
                <w:rFonts w:ascii="Arial" w:cs="Arial" w:eastAsia="Arial" w:hAnsi="Arial"/>
                <w:sz w:val="18"/>
                <w:szCs w:val="18"/>
                <w:color w:val="auto"/>
              </w:rPr>
              <w:t>Item 2.</w:t>
            </w:r>
          </w:p>
        </w:tc>
        <w:tc>
          <w:tcPr>
            <w:tcW w:w="9920" w:type="dxa"/>
            <w:vAlign w:val="bottom"/>
          </w:tcPr>
          <w:p>
            <w:pPr>
              <w:ind w:left="220"/>
              <w:spacing w:after="0"/>
              <w:rPr>
                <w:rFonts w:ascii="Arial" w:cs="Arial" w:eastAsia="Arial" w:hAnsi="Arial"/>
                <w:sz w:val="18"/>
                <w:szCs w:val="18"/>
                <w:color w:val="0000FF"/>
              </w:rPr>
            </w:pPr>
            <w:hyperlink w:anchor="page33">
              <w:r>
                <w:rPr>
                  <w:rFonts w:ascii="Arial" w:cs="Arial" w:eastAsia="Arial" w:hAnsi="Arial"/>
                  <w:sz w:val="18"/>
                  <w:szCs w:val="18"/>
                  <w:color w:val="0000FF"/>
                </w:rPr>
                <w:t>Unregistered Sales of Equity Securities and Use of Proceeds</w:t>
              </w:r>
            </w:hyperlink>
          </w:p>
        </w:tc>
        <w:tc>
          <w:tcPr>
            <w:tcW w:w="580" w:type="dxa"/>
            <w:vAlign w:val="bottom"/>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338"/>
        </w:trPr>
        <w:tc>
          <w:tcPr>
            <w:tcW w:w="720" w:type="dxa"/>
            <w:vAlign w:val="bottom"/>
          </w:tcPr>
          <w:p>
            <w:pPr>
              <w:ind w:left="40"/>
              <w:spacing w:after="0"/>
              <w:rPr>
                <w:sz w:val="20"/>
                <w:szCs w:val="20"/>
                <w:color w:val="auto"/>
              </w:rPr>
            </w:pPr>
            <w:r>
              <w:rPr>
                <w:rFonts w:ascii="Arial" w:cs="Arial" w:eastAsia="Arial" w:hAnsi="Arial"/>
                <w:sz w:val="18"/>
                <w:szCs w:val="18"/>
                <w:color w:val="auto"/>
              </w:rPr>
              <w:t>Item 3.</w:t>
            </w:r>
          </w:p>
        </w:tc>
        <w:tc>
          <w:tcPr>
            <w:tcW w:w="9920" w:type="dxa"/>
            <w:vAlign w:val="bottom"/>
          </w:tcPr>
          <w:p>
            <w:pPr>
              <w:ind w:left="220"/>
              <w:spacing w:after="0"/>
              <w:rPr>
                <w:rFonts w:ascii="Arial" w:cs="Arial" w:eastAsia="Arial" w:hAnsi="Arial"/>
                <w:sz w:val="18"/>
                <w:szCs w:val="18"/>
                <w:color w:val="0000FF"/>
              </w:rPr>
            </w:pPr>
            <w:hyperlink w:anchor="page33">
              <w:r>
                <w:rPr>
                  <w:rFonts w:ascii="Arial" w:cs="Arial" w:eastAsia="Arial" w:hAnsi="Arial"/>
                  <w:sz w:val="18"/>
                  <w:szCs w:val="18"/>
                  <w:color w:val="0000FF"/>
                </w:rPr>
                <w:t>Defaults Upon Senior Securities</w:t>
              </w:r>
            </w:hyperlink>
          </w:p>
        </w:tc>
        <w:tc>
          <w:tcPr>
            <w:tcW w:w="580" w:type="dxa"/>
            <w:vAlign w:val="bottom"/>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338"/>
        </w:trPr>
        <w:tc>
          <w:tcPr>
            <w:tcW w:w="720" w:type="dxa"/>
            <w:vAlign w:val="bottom"/>
          </w:tcPr>
          <w:p>
            <w:pPr>
              <w:ind w:left="40"/>
              <w:spacing w:after="0"/>
              <w:rPr>
                <w:sz w:val="20"/>
                <w:szCs w:val="20"/>
                <w:color w:val="auto"/>
              </w:rPr>
            </w:pPr>
            <w:r>
              <w:rPr>
                <w:rFonts w:ascii="Arial" w:cs="Arial" w:eastAsia="Arial" w:hAnsi="Arial"/>
                <w:sz w:val="18"/>
                <w:szCs w:val="18"/>
                <w:color w:val="auto"/>
              </w:rPr>
              <w:t>Item 4.</w:t>
            </w:r>
          </w:p>
        </w:tc>
        <w:tc>
          <w:tcPr>
            <w:tcW w:w="9920" w:type="dxa"/>
            <w:vAlign w:val="bottom"/>
          </w:tcPr>
          <w:p>
            <w:pPr>
              <w:ind w:left="220"/>
              <w:spacing w:after="0"/>
              <w:rPr>
                <w:rFonts w:ascii="Arial" w:cs="Arial" w:eastAsia="Arial" w:hAnsi="Arial"/>
                <w:sz w:val="18"/>
                <w:szCs w:val="18"/>
                <w:color w:val="0000FF"/>
              </w:rPr>
            </w:pPr>
            <w:hyperlink w:anchor="page33">
              <w:r>
                <w:rPr>
                  <w:rFonts w:ascii="Arial" w:cs="Arial" w:eastAsia="Arial" w:hAnsi="Arial"/>
                  <w:sz w:val="18"/>
                  <w:szCs w:val="18"/>
                  <w:color w:val="0000FF"/>
                </w:rPr>
                <w:t>Mine Safety Disclosures</w:t>
              </w:r>
            </w:hyperlink>
          </w:p>
        </w:tc>
        <w:tc>
          <w:tcPr>
            <w:tcW w:w="580" w:type="dxa"/>
            <w:vAlign w:val="bottom"/>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338"/>
        </w:trPr>
        <w:tc>
          <w:tcPr>
            <w:tcW w:w="720" w:type="dxa"/>
            <w:vAlign w:val="bottom"/>
          </w:tcPr>
          <w:p>
            <w:pPr>
              <w:ind w:left="40"/>
              <w:spacing w:after="0"/>
              <w:rPr>
                <w:sz w:val="20"/>
                <w:szCs w:val="20"/>
                <w:color w:val="auto"/>
              </w:rPr>
            </w:pPr>
            <w:r>
              <w:rPr>
                <w:rFonts w:ascii="Arial" w:cs="Arial" w:eastAsia="Arial" w:hAnsi="Arial"/>
                <w:sz w:val="18"/>
                <w:szCs w:val="18"/>
                <w:color w:val="auto"/>
              </w:rPr>
              <w:t>Item 5.</w:t>
            </w:r>
          </w:p>
        </w:tc>
        <w:tc>
          <w:tcPr>
            <w:tcW w:w="9920" w:type="dxa"/>
            <w:vAlign w:val="bottom"/>
          </w:tcPr>
          <w:p>
            <w:pPr>
              <w:ind w:left="220"/>
              <w:spacing w:after="0"/>
              <w:rPr>
                <w:rFonts w:ascii="Arial" w:cs="Arial" w:eastAsia="Arial" w:hAnsi="Arial"/>
                <w:sz w:val="18"/>
                <w:szCs w:val="18"/>
                <w:color w:val="0000FF"/>
              </w:rPr>
            </w:pPr>
            <w:hyperlink w:anchor="page33">
              <w:r>
                <w:rPr>
                  <w:rFonts w:ascii="Arial" w:cs="Arial" w:eastAsia="Arial" w:hAnsi="Arial"/>
                  <w:sz w:val="18"/>
                  <w:szCs w:val="18"/>
                  <w:color w:val="0000FF"/>
                </w:rPr>
                <w:t>Other Information</w:t>
              </w:r>
            </w:hyperlink>
          </w:p>
        </w:tc>
        <w:tc>
          <w:tcPr>
            <w:tcW w:w="580" w:type="dxa"/>
            <w:vAlign w:val="bottom"/>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338"/>
        </w:trPr>
        <w:tc>
          <w:tcPr>
            <w:tcW w:w="720" w:type="dxa"/>
            <w:vAlign w:val="bottom"/>
          </w:tcPr>
          <w:p>
            <w:pPr>
              <w:ind w:left="40"/>
              <w:spacing w:after="0"/>
              <w:rPr>
                <w:sz w:val="20"/>
                <w:szCs w:val="20"/>
                <w:color w:val="auto"/>
              </w:rPr>
            </w:pPr>
            <w:r>
              <w:rPr>
                <w:rFonts w:ascii="Arial" w:cs="Arial" w:eastAsia="Arial" w:hAnsi="Arial"/>
                <w:sz w:val="18"/>
                <w:szCs w:val="18"/>
                <w:color w:val="auto"/>
              </w:rPr>
              <w:t>Item 6.</w:t>
            </w:r>
          </w:p>
        </w:tc>
        <w:tc>
          <w:tcPr>
            <w:tcW w:w="9920" w:type="dxa"/>
            <w:vAlign w:val="bottom"/>
          </w:tcPr>
          <w:p>
            <w:pPr>
              <w:ind w:left="220"/>
              <w:spacing w:after="0"/>
              <w:rPr>
                <w:rFonts w:ascii="Arial" w:cs="Arial" w:eastAsia="Arial" w:hAnsi="Arial"/>
                <w:sz w:val="18"/>
                <w:szCs w:val="18"/>
                <w:color w:val="0000FF"/>
              </w:rPr>
            </w:pPr>
            <w:hyperlink w:anchor="page33">
              <w:r>
                <w:rPr>
                  <w:rFonts w:ascii="Arial" w:cs="Arial" w:eastAsia="Arial" w:hAnsi="Arial"/>
                  <w:sz w:val="18"/>
                  <w:szCs w:val="18"/>
                  <w:color w:val="0000FF"/>
                </w:rPr>
                <w:t>Exhibits</w:t>
              </w:r>
            </w:hyperlink>
          </w:p>
        </w:tc>
        <w:tc>
          <w:tcPr>
            <w:tcW w:w="580" w:type="dxa"/>
            <w:vAlign w:val="bottom"/>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r>
      <w:tr>
        <w:trPr>
          <w:trHeight w:val="338"/>
        </w:trPr>
        <w:tc>
          <w:tcPr>
            <w:tcW w:w="10640" w:type="dxa"/>
            <w:vAlign w:val="bottom"/>
            <w:gridSpan w:val="2"/>
          </w:tcPr>
          <w:p>
            <w:pPr>
              <w:ind w:left="40"/>
              <w:spacing w:after="0"/>
              <w:rPr>
                <w:rFonts w:ascii="Arial" w:cs="Arial" w:eastAsia="Arial" w:hAnsi="Arial"/>
                <w:sz w:val="18"/>
                <w:szCs w:val="18"/>
                <w:color w:val="0000FF"/>
              </w:rPr>
            </w:pPr>
            <w:hyperlink w:anchor="page35">
              <w:r>
                <w:rPr>
                  <w:rFonts w:ascii="Arial" w:cs="Arial" w:eastAsia="Arial" w:hAnsi="Arial"/>
                  <w:sz w:val="18"/>
                  <w:szCs w:val="18"/>
                  <w:color w:val="0000FF"/>
                </w:rPr>
                <w:t>SIGNATURES</w:t>
              </w:r>
            </w:hyperlink>
          </w:p>
        </w:tc>
        <w:tc>
          <w:tcPr>
            <w:tcW w:w="580" w:type="dxa"/>
            <w:vAlign w:val="bottom"/>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36</w:t>
              </w:r>
            </w:hyperlink>
          </w:p>
        </w:tc>
      </w:tr>
      <w:tr>
        <w:trPr>
          <w:trHeight w:val="634"/>
        </w:trPr>
        <w:tc>
          <w:tcPr>
            <w:tcW w:w="1064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580" w:type="dxa"/>
            <w:vAlign w:val="bottom"/>
          </w:tcPr>
          <w:p>
            <w:pPr>
              <w:spacing w:after="0"/>
              <w:rPr>
                <w:sz w:val="24"/>
                <w:szCs w:val="24"/>
                <w:color w:val="auto"/>
              </w:rPr>
            </w:pPr>
          </w:p>
        </w:tc>
      </w:tr>
      <w:tr>
        <w:trPr>
          <w:trHeight w:val="310"/>
        </w:trPr>
        <w:tc>
          <w:tcPr>
            <w:tcW w:w="7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92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Financial Statements.</w:t>
            </w:r>
          </w:p>
        </w:tc>
        <w:tc>
          <w:tcPr>
            <w:tcW w:w="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3064510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par value and share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4"/>
                <w:szCs w:val="14"/>
                <w:color w:val="auto"/>
              </w:rPr>
            </w:pPr>
          </w:p>
        </w:tc>
        <w:tc>
          <w:tcPr>
            <w:tcW w:w="11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8"/>
        </w:trPr>
        <w:tc>
          <w:tcPr>
            <w:tcW w:w="8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1"/>
        </w:trPr>
        <w:tc>
          <w:tcPr>
            <w:tcW w:w="8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40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46,474</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3,338</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 for doubtful accounts of $358 and $408, respectively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26,781</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37,474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37,402</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13,624</w:t>
            </w:r>
          </w:p>
        </w:tc>
        <w:tc>
          <w:tcPr>
            <w:tcW w:w="0" w:type="dxa"/>
            <w:vAlign w:val="bottom"/>
          </w:tcPr>
          <w:p>
            <w:pPr>
              <w:spacing w:after="0"/>
              <w:rPr>
                <w:sz w:val="1"/>
                <w:szCs w:val="1"/>
                <w:color w:val="auto"/>
              </w:rPr>
            </w:pPr>
          </w:p>
        </w:tc>
      </w:tr>
      <w:tr>
        <w:trPr>
          <w:trHeight w:val="207"/>
        </w:trPr>
        <w:tc>
          <w:tcPr>
            <w:tcW w:w="86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127,619</w:t>
            </w:r>
          </w:p>
        </w:tc>
        <w:tc>
          <w:tcPr>
            <w:tcW w:w="0" w:type="dxa"/>
            <w:vAlign w:val="bottom"/>
          </w:tcPr>
          <w:p>
            <w:pPr>
              <w:spacing w:after="0"/>
              <w:rPr>
                <w:sz w:val="1"/>
                <w:szCs w:val="1"/>
                <w:color w:val="auto"/>
              </w:rPr>
            </w:pPr>
          </w:p>
        </w:tc>
      </w:tr>
      <w:tr>
        <w:trPr>
          <w:trHeight w:val="213"/>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 of accumulated depreciation of $23,334 and $26,692, respectively</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8,102</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Arial" w:cs="Arial" w:eastAsia="Arial" w:hAnsi="Arial"/>
                <w:sz w:val="16"/>
                <w:szCs w:val="16"/>
                <w:color w:val="auto"/>
              </w:rPr>
              <w:t>Rental assets, net of accumulated depreciation of $5,939 and $5,392, respectively</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4,575</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 of accumulated amortization of $54,100 and $48,404, respectively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46,995</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21,922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20,336</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7,839</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38"/>
        </w:trPr>
        <w:tc>
          <w:tcPr>
            <w:tcW w:w="8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204,180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215,843</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540"/>
              <w:spacing w:after="0"/>
              <w:rPr>
                <w:sz w:val="20"/>
                <w:szCs w:val="20"/>
                <w:color w:val="auto"/>
              </w:rPr>
            </w:pPr>
            <w:r>
              <w:rPr>
                <w:rFonts w:ascii="Arial" w:cs="Arial" w:eastAsia="Arial" w:hAnsi="Arial"/>
                <w:sz w:val="16"/>
                <w:szCs w:val="16"/>
                <w:b w:val="1"/>
                <w:bCs w:val="1"/>
                <w:color w:val="auto"/>
              </w:rPr>
              <w:t>LIABILITIES AND STOCKHOLDERS’ DEFICIT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40,096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48,577</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26,253</w:t>
            </w:r>
          </w:p>
        </w:tc>
        <w:tc>
          <w:tcPr>
            <w:tcW w:w="0" w:type="dxa"/>
            <w:vAlign w:val="bottom"/>
          </w:tcPr>
          <w:p>
            <w:pPr>
              <w:spacing w:after="0"/>
              <w:rPr>
                <w:sz w:val="1"/>
                <w:szCs w:val="1"/>
                <w:color w:val="auto"/>
              </w:rPr>
            </w:pPr>
          </w:p>
        </w:tc>
      </w:tr>
      <w:tr>
        <w:trPr>
          <w:trHeight w:val="207"/>
        </w:trPr>
        <w:tc>
          <w:tcPr>
            <w:tcW w:w="86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72,581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74,830</w:t>
            </w:r>
          </w:p>
        </w:tc>
        <w:tc>
          <w:tcPr>
            <w:tcW w:w="0" w:type="dxa"/>
            <w:vAlign w:val="bottom"/>
          </w:tcPr>
          <w:p>
            <w:pPr>
              <w:spacing w:after="0"/>
              <w:rPr>
                <w:sz w:val="1"/>
                <w:szCs w:val="1"/>
                <w:color w:val="auto"/>
              </w:rPr>
            </w:pPr>
          </w:p>
        </w:tc>
      </w:tr>
      <w:tr>
        <w:trPr>
          <w:trHeight w:val="19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Arial" w:cs="Arial" w:eastAsia="Arial" w:hAnsi="Arial"/>
                <w:sz w:val="16"/>
                <w:szCs w:val="16"/>
                <w:color w:val="auto"/>
              </w:rPr>
              <w:t>2025 Notes, net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157,629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157,866</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liabilities,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7,149</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238,370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240,697</w:t>
            </w:r>
          </w:p>
        </w:tc>
        <w:tc>
          <w:tcPr>
            <w:tcW w:w="0" w:type="dxa"/>
            <w:vAlign w:val="bottom"/>
          </w:tcPr>
          <w:p>
            <w:pPr>
              <w:spacing w:after="0"/>
              <w:rPr>
                <w:sz w:val="1"/>
                <w:szCs w:val="1"/>
                <w:color w:val="auto"/>
              </w:rPr>
            </w:pPr>
          </w:p>
        </w:tc>
      </w:tr>
      <w:tr>
        <w:trPr>
          <w:trHeight w:val="193"/>
        </w:trPr>
        <w:tc>
          <w:tcPr>
            <w:tcW w:w="862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deficit: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Arial" w:cs="Arial" w:eastAsia="Arial" w:hAnsi="Arial"/>
                <w:sz w:val="16"/>
                <w:szCs w:val="16"/>
                <w:color w:val="auto"/>
              </w:rPr>
              <w:t>Preferred stock, par value $0.001; 2,000,000 shares authorized: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620" w:type="dxa"/>
            <w:vAlign w:val="bottom"/>
            <w:shd w:val="clear" w:color="auto" w:fill="CCEEFF"/>
          </w:tcPr>
          <w:p>
            <w:pPr>
              <w:ind w:left="480"/>
              <w:spacing w:after="0" w:line="169" w:lineRule="exact"/>
              <w:rPr>
                <w:sz w:val="20"/>
                <w:szCs w:val="20"/>
                <w:color w:val="auto"/>
              </w:rPr>
            </w:pPr>
            <w:r>
              <w:rPr>
                <w:rFonts w:ascii="Arial" w:cs="Arial" w:eastAsia="Arial" w:hAnsi="Arial"/>
                <w:sz w:val="16"/>
                <w:szCs w:val="16"/>
                <w:color w:val="auto"/>
                <w:w w:val="94"/>
              </w:rPr>
              <w:t>Series E Preferred stock, par value $0.001; 39,500 shares designated, 25,000 shares issued and outstanding, liquidation</w:t>
            </w:r>
          </w:p>
        </w:tc>
        <w:tc>
          <w:tcPr>
            <w:tcW w:w="18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preference of $1,000 per share (plus any accrued but unpaid dividends)</w:t>
            </w:r>
          </w:p>
        </w:tc>
        <w:tc>
          <w:tcPr>
            <w:tcW w:w="18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620" w:type="dxa"/>
            <w:vAlign w:val="bottom"/>
          </w:tcPr>
          <w:p>
            <w:pPr>
              <w:ind w:left="220"/>
              <w:spacing w:after="0" w:line="166" w:lineRule="exact"/>
              <w:rPr>
                <w:sz w:val="20"/>
                <w:szCs w:val="20"/>
                <w:color w:val="auto"/>
              </w:rPr>
            </w:pPr>
            <w:r>
              <w:rPr>
                <w:rFonts w:ascii="Arial" w:cs="Arial" w:eastAsia="Arial" w:hAnsi="Arial"/>
                <w:sz w:val="16"/>
                <w:szCs w:val="16"/>
                <w:color w:val="auto"/>
                <w:w w:val="91"/>
              </w:rPr>
              <w:t>Common stock, par value $0.001; 150,000,000 shares authorized, 107,389,076 and 105,380,533 shares issued and outstanding,</w:t>
            </w: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9"/>
        </w:trPr>
        <w:tc>
          <w:tcPr>
            <w:tcW w:w="8620" w:type="dxa"/>
            <w:vAlign w:val="bottom"/>
          </w:tcPr>
          <w:p>
            <w:pPr>
              <w:ind w:left="22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784,267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770,619</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(8,531)</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(812,931)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(787,047)</w:t>
            </w:r>
          </w:p>
        </w:tc>
        <w:tc>
          <w:tcPr>
            <w:tcW w:w="0" w:type="dxa"/>
            <w:vAlign w:val="bottom"/>
          </w:tcPr>
          <w:p>
            <w:pPr>
              <w:spacing w:after="0"/>
              <w:rPr>
                <w:sz w:val="1"/>
                <w:szCs w:val="1"/>
                <w:color w:val="auto"/>
              </w:rPr>
            </w:pPr>
          </w:p>
        </w:tc>
      </w:tr>
      <w:tr>
        <w:trPr>
          <w:trHeight w:val="207"/>
        </w:trPr>
        <w:tc>
          <w:tcPr>
            <w:tcW w:w="86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stockholders’ deficit</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(34,190)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(24,854)</w:t>
            </w:r>
          </w:p>
        </w:tc>
        <w:tc>
          <w:tcPr>
            <w:tcW w:w="0" w:type="dxa"/>
            <w:vAlign w:val="bottom"/>
          </w:tcPr>
          <w:p>
            <w:pPr>
              <w:spacing w:after="0"/>
              <w:rPr>
                <w:sz w:val="1"/>
                <w:szCs w:val="1"/>
                <w:color w:val="auto"/>
              </w:rPr>
            </w:pPr>
          </w:p>
        </w:tc>
      </w:tr>
      <w:tr>
        <w:trPr>
          <w:trHeight w:val="237"/>
        </w:trPr>
        <w:tc>
          <w:tcPr>
            <w:tcW w:w="8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and stockholders’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204,180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215,843</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92"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Three Months Ended</w:t>
      </w:r>
    </w:p>
    <w:p>
      <w:pPr>
        <w:jc w:val="center"/>
        <w:ind w:left="88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13335</wp:posOffset>
            </wp:positionV>
            <wp:extent cx="15087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9"/>
        </w:trPr>
        <w:tc>
          <w:tcPr>
            <w:tcW w:w="8860" w:type="dxa"/>
            <w:vAlign w:val="bottom"/>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42,959</w:t>
            </w:r>
          </w:p>
        </w:tc>
        <w:tc>
          <w:tcPr>
            <w:tcW w:w="0" w:type="dxa"/>
            <w:vAlign w:val="bottom"/>
          </w:tcPr>
          <w:p>
            <w:pPr>
              <w:spacing w:after="0"/>
              <w:rPr>
                <w:sz w:val="1"/>
                <w:szCs w:val="1"/>
                <w:color w:val="auto"/>
              </w:rPr>
            </w:pPr>
          </w:p>
        </w:tc>
      </w:tr>
      <w:tr>
        <w:trPr>
          <w:trHeight w:val="213"/>
        </w:trPr>
        <w:tc>
          <w:tcPr>
            <w:tcW w:w="8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Enterprise SaaS Solutions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14,638</w:t>
            </w:r>
          </w:p>
        </w:tc>
        <w:tc>
          <w:tcPr>
            <w:tcW w:w="0" w:type="dxa"/>
            <w:vAlign w:val="bottom"/>
          </w:tcPr>
          <w:p>
            <w:pPr>
              <w:spacing w:after="0"/>
              <w:rPr>
                <w:sz w:val="1"/>
                <w:szCs w:val="1"/>
                <w:color w:val="auto"/>
              </w:rPr>
            </w:pPr>
          </w:p>
        </w:tc>
      </w:tr>
      <w:tr>
        <w:trPr>
          <w:trHeight w:val="213"/>
        </w:trPr>
        <w:tc>
          <w:tcPr>
            <w:tcW w:w="88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net revenues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57,597</w:t>
            </w:r>
          </w:p>
        </w:tc>
        <w:tc>
          <w:tcPr>
            <w:tcW w:w="0" w:type="dxa"/>
            <w:vAlign w:val="bottom"/>
          </w:tcPr>
          <w:p>
            <w:pPr>
              <w:spacing w:after="0"/>
              <w:rPr>
                <w:sz w:val="1"/>
                <w:szCs w:val="1"/>
                <w:color w:val="auto"/>
              </w:rPr>
            </w:pP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Cost of net revenues: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33,442</w:t>
            </w:r>
          </w:p>
        </w:tc>
        <w:tc>
          <w:tcPr>
            <w:tcW w:w="0" w:type="dxa"/>
            <w:vAlign w:val="bottom"/>
          </w:tcPr>
          <w:p>
            <w:pPr>
              <w:spacing w:after="0"/>
              <w:rPr>
                <w:sz w:val="1"/>
                <w:szCs w:val="1"/>
                <w:color w:val="auto"/>
              </w:rPr>
            </w:pPr>
          </w:p>
        </w:tc>
      </w:tr>
      <w:tr>
        <w:trPr>
          <w:trHeight w:val="213"/>
        </w:trPr>
        <w:tc>
          <w:tcPr>
            <w:tcW w:w="8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Enterprise SaaS Solutions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5,682</w:t>
            </w:r>
          </w:p>
        </w:tc>
        <w:tc>
          <w:tcPr>
            <w:tcW w:w="0" w:type="dxa"/>
            <w:vAlign w:val="bottom"/>
          </w:tcPr>
          <w:p>
            <w:pPr>
              <w:spacing w:after="0"/>
              <w:rPr>
                <w:sz w:val="1"/>
                <w:szCs w:val="1"/>
                <w:color w:val="auto"/>
              </w:rPr>
            </w:pPr>
          </w:p>
        </w:tc>
      </w:tr>
      <w:tr>
        <w:trPr>
          <w:trHeight w:val="213"/>
        </w:trPr>
        <w:tc>
          <w:tcPr>
            <w:tcW w:w="88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cost of net revenues</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46,136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39,124</w:t>
            </w:r>
          </w:p>
        </w:tc>
        <w:tc>
          <w:tcPr>
            <w:tcW w:w="0" w:type="dxa"/>
            <w:vAlign w:val="bottom"/>
          </w:tcPr>
          <w:p>
            <w:pPr>
              <w:spacing w:after="0"/>
              <w:rPr>
                <w:sz w:val="1"/>
                <w:szCs w:val="1"/>
                <w:color w:val="auto"/>
              </w:rPr>
            </w:pPr>
          </w:p>
        </w:tc>
      </w:tr>
      <w:tr>
        <w:trPr>
          <w:trHeight w:val="207"/>
        </w:trPr>
        <w:tc>
          <w:tcPr>
            <w:tcW w:w="88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18,473</w:t>
            </w:r>
          </w:p>
        </w:tc>
        <w:tc>
          <w:tcPr>
            <w:tcW w:w="0" w:type="dxa"/>
            <w:vAlign w:val="bottom"/>
          </w:tcPr>
          <w:p>
            <w:pPr>
              <w:spacing w:after="0"/>
              <w:rPr>
                <w:sz w:val="1"/>
                <w:szCs w:val="1"/>
                <w:color w:val="auto"/>
              </w:rPr>
            </w:pPr>
          </w:p>
        </w:tc>
      </w:tr>
      <w:tr>
        <w:trPr>
          <w:trHeight w:val="199"/>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86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18,560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14,555</w:t>
            </w: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and marketing</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11,004</w:t>
            </w:r>
          </w:p>
        </w:tc>
        <w:tc>
          <w:tcPr>
            <w:tcW w:w="0" w:type="dxa"/>
            <w:vAlign w:val="bottom"/>
          </w:tcPr>
          <w:p>
            <w:pPr>
              <w:spacing w:after="0"/>
              <w:rPr>
                <w:sz w:val="1"/>
                <w:szCs w:val="1"/>
                <w:color w:val="auto"/>
              </w:rPr>
            </w:pPr>
          </w:p>
        </w:tc>
      </w:tr>
      <w:tr>
        <w:trPr>
          <w:trHeight w:val="213"/>
        </w:trPr>
        <w:tc>
          <w:tcPr>
            <w:tcW w:w="886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8,644</w:t>
            </w: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purchased 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07"/>
        </w:trPr>
        <w:tc>
          <w:tcPr>
            <w:tcW w:w="88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operating costs and expenses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37,015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34,669</w:t>
            </w:r>
          </w:p>
        </w:tc>
        <w:tc>
          <w:tcPr>
            <w:tcW w:w="0" w:type="dxa"/>
            <w:vAlign w:val="bottom"/>
          </w:tcPr>
          <w:p>
            <w:pPr>
              <w:spacing w:after="0"/>
              <w:rPr>
                <w:sz w:val="1"/>
                <w:szCs w:val="1"/>
                <w:color w:val="auto"/>
              </w:rPr>
            </w:pPr>
          </w:p>
        </w:tc>
      </w:tr>
      <w:tr>
        <w:trPr>
          <w:trHeight w:val="213"/>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(16,196)</w:t>
            </w:r>
          </w:p>
        </w:tc>
        <w:tc>
          <w:tcPr>
            <w:tcW w:w="0" w:type="dxa"/>
            <w:vAlign w:val="bottom"/>
          </w:tcPr>
          <w:p>
            <w:pPr>
              <w:spacing w:after="0"/>
              <w:rPr>
                <w:sz w:val="1"/>
                <w:szCs w:val="1"/>
                <w:color w:val="auto"/>
              </w:rPr>
            </w:pP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Other (expense) income: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debt conversion and extinguishment, net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13"/>
        </w:trPr>
        <w:tc>
          <w:tcPr>
            <w:tcW w:w="886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(1,845)</w:t>
            </w: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(expense) income, net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1,735</w:t>
            </w:r>
          </w:p>
        </w:tc>
        <w:tc>
          <w:tcPr>
            <w:tcW w:w="0" w:type="dxa"/>
            <w:vAlign w:val="bottom"/>
          </w:tcPr>
          <w:p>
            <w:pPr>
              <w:spacing w:after="0"/>
              <w:rPr>
                <w:sz w:val="1"/>
                <w:szCs w:val="1"/>
                <w:color w:val="auto"/>
              </w:rPr>
            </w:pPr>
          </w:p>
        </w:tc>
      </w:tr>
      <w:tr>
        <w:trPr>
          <w:trHeight w:val="206"/>
        </w:trPr>
        <w:tc>
          <w:tcPr>
            <w:tcW w:w="886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(25,545)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(16,738)</w:t>
            </w: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provision</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07"/>
        </w:trPr>
        <w:tc>
          <w:tcPr>
            <w:tcW w:w="88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(25,223)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(16,959)</w:t>
            </w: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06"/>
        </w:trPr>
        <w:tc>
          <w:tcPr>
            <w:tcW w:w="8860" w:type="dxa"/>
            <w:vAlign w:val="bottom"/>
          </w:tcPr>
          <w:p>
            <w:pPr>
              <w:ind w:left="20"/>
              <w:spacing w:after="0"/>
              <w:rPr>
                <w:sz w:val="20"/>
                <w:szCs w:val="20"/>
                <w:color w:val="auto"/>
              </w:rPr>
            </w:pPr>
            <w:r>
              <w:rPr>
                <w:rFonts w:ascii="Arial" w:cs="Arial" w:eastAsia="Arial" w:hAnsi="Arial"/>
                <w:sz w:val="16"/>
                <w:szCs w:val="16"/>
                <w:color w:val="auto"/>
              </w:rPr>
              <w:t>Net loss attributable to Inseego Corp.</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(25,223)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(17,173)</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E preferred stock dividends</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(25,884)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(18,040)</w:t>
            </w:r>
          </w:p>
        </w:tc>
        <w:tc>
          <w:tcPr>
            <w:tcW w:w="0" w:type="dxa"/>
            <w:vAlign w:val="bottom"/>
          </w:tcPr>
          <w:p>
            <w:pPr>
              <w:spacing w:after="0"/>
              <w:rPr>
                <w:sz w:val="1"/>
                <w:szCs w:val="1"/>
                <w:color w:val="auto"/>
              </w:rPr>
            </w:pPr>
          </w:p>
        </w:tc>
      </w:tr>
      <w:tr>
        <w:trPr>
          <w:trHeight w:val="20"/>
        </w:trPr>
        <w:tc>
          <w:tcPr>
            <w:tcW w:w="8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share data:</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Net loss per common share: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 and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Weighted-average shares used in computation of net loss per common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8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 and diluted</w:t>
            </w: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105,649,419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101,370,433</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92"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Three Months Ended</w:t>
      </w:r>
    </w:p>
    <w:p>
      <w:pPr>
        <w:jc w:val="center"/>
        <w:ind w:left="88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8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r>
      <w:tr>
        <w:trPr>
          <w:trHeight w:val="211"/>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(16,959)</w:t>
            </w:r>
          </w:p>
        </w:tc>
      </w:tr>
      <w:tr>
        <w:trPr>
          <w:trHeight w:val="213"/>
        </w:trPr>
        <w:tc>
          <w:tcPr>
            <w:tcW w:w="8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(1,732)</w:t>
            </w:r>
          </w:p>
        </w:tc>
      </w:tr>
      <w:tr>
        <w:trPr>
          <w:trHeight w:val="212"/>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comprehensive loss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(18,691)</w:t>
            </w:r>
          </w:p>
        </w:tc>
      </w:tr>
      <w:tr>
        <w:trPr>
          <w:trHeight w:val="213"/>
        </w:trPr>
        <w:tc>
          <w:tcPr>
            <w:tcW w:w="8860" w:type="dxa"/>
            <w:vAlign w:val="bottom"/>
          </w:tcPr>
          <w:p>
            <w:pPr>
              <w:ind w:left="320"/>
              <w:spacing w:after="0"/>
              <w:rPr>
                <w:sz w:val="20"/>
                <w:szCs w:val="20"/>
                <w:color w:val="auto"/>
              </w:rPr>
            </w:pPr>
            <w:r>
              <w:rPr>
                <w:rFonts w:ascii="Arial" w:cs="Arial" w:eastAsia="Arial" w:hAnsi="Arial"/>
                <w:sz w:val="16"/>
                <w:szCs w:val="16"/>
                <w:color w:val="auto"/>
              </w:rPr>
              <w:t>Comprehensive income attributable to noncontrolling interests</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38"/>
        </w:trPr>
        <w:tc>
          <w:tcPr>
            <w:tcW w:w="8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Inseego Corp.</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(18,905)</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540" w:type="dxa"/>
            <w:vAlign w:val="bottom"/>
            <w:gridSpan w:val="5"/>
          </w:tcPr>
          <w:p>
            <w:pPr>
              <w:ind w:left="280"/>
              <w:spacing w:after="0"/>
              <w:rPr>
                <w:sz w:val="20"/>
                <w:szCs w:val="20"/>
                <w:color w:val="auto"/>
              </w:rPr>
            </w:pPr>
            <w:r>
              <w:rPr>
                <w:rFonts w:ascii="Arial" w:cs="Arial" w:eastAsia="Arial" w:hAnsi="Arial"/>
                <w:sz w:val="13"/>
                <w:szCs w:val="13"/>
                <w:b w:val="1"/>
                <w:bCs w:val="1"/>
                <w:color w:val="auto"/>
              </w:rPr>
              <w:t>Preferred Stock</w:t>
            </w:r>
          </w:p>
        </w:tc>
        <w:tc>
          <w:tcPr>
            <w:tcW w:w="1540" w:type="dxa"/>
            <w:vAlign w:val="bottom"/>
            <w:gridSpan w:val="5"/>
          </w:tcPr>
          <w:p>
            <w:pPr>
              <w:ind w:left="30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Paid-in</w:t>
            </w:r>
          </w:p>
        </w:tc>
        <w:tc>
          <w:tcPr>
            <w:tcW w:w="100" w:type="dxa"/>
            <w:vAlign w:val="bottom"/>
          </w:tcPr>
          <w:p>
            <w:pPr>
              <w:spacing w:after="0"/>
              <w:rPr>
                <w:sz w:val="4"/>
                <w:szCs w:val="4"/>
                <w:color w:val="auto"/>
              </w:rPr>
            </w:pPr>
          </w:p>
        </w:tc>
        <w:tc>
          <w:tcPr>
            <w:tcW w:w="980" w:type="dxa"/>
            <w:vAlign w:val="bottom"/>
            <w:gridSpan w:val="2"/>
          </w:tcPr>
          <w:p>
            <w:pPr>
              <w:jc w:val="center"/>
              <w:ind w:right="200"/>
              <w:spacing w:after="0" w:line="54" w:lineRule="exact"/>
              <w:rPr>
                <w:sz w:val="20"/>
                <w:szCs w:val="20"/>
                <w:color w:val="auto"/>
              </w:rPr>
            </w:pPr>
            <w:r>
              <w:rPr>
                <w:rFonts w:ascii="Arial" w:cs="Arial" w:eastAsia="Arial" w:hAnsi="Arial"/>
                <w:sz w:val="6"/>
                <w:szCs w:val="6"/>
                <w:b w:val="1"/>
                <w:bCs w:val="1"/>
                <w:color w:val="auto"/>
              </w:rPr>
              <w:t>Accumulated</w:t>
            </w:r>
          </w:p>
        </w:tc>
        <w:tc>
          <w:tcPr>
            <w:tcW w:w="120" w:type="dxa"/>
            <w:vAlign w:val="bottom"/>
          </w:tcPr>
          <w:p>
            <w:pPr>
              <w:spacing w:after="0"/>
              <w:rPr>
                <w:sz w:val="4"/>
                <w:szCs w:val="4"/>
                <w:color w:val="auto"/>
              </w:rPr>
            </w:pPr>
          </w:p>
        </w:tc>
        <w:tc>
          <w:tcPr>
            <w:tcW w:w="114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Comprehensive</w:t>
            </w:r>
          </w:p>
        </w:tc>
        <w:tc>
          <w:tcPr>
            <w:tcW w:w="120" w:type="dxa"/>
            <w:vAlign w:val="bottom"/>
          </w:tcPr>
          <w:p>
            <w:pPr>
              <w:spacing w:after="0"/>
              <w:rPr>
                <w:sz w:val="4"/>
                <w:szCs w:val="4"/>
                <w:color w:val="auto"/>
              </w:rPr>
            </w:pPr>
          </w:p>
        </w:tc>
        <w:tc>
          <w:tcPr>
            <w:tcW w:w="110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Noncontrolling</w:t>
            </w:r>
          </w:p>
        </w:tc>
        <w:tc>
          <w:tcPr>
            <w:tcW w:w="100" w:type="dxa"/>
            <w:vAlign w:val="bottom"/>
          </w:tcPr>
          <w:p>
            <w:pPr>
              <w:spacing w:after="0"/>
              <w:rPr>
                <w:sz w:val="4"/>
                <w:szCs w:val="4"/>
                <w:color w:val="auto"/>
              </w:rPr>
            </w:pPr>
          </w:p>
        </w:tc>
        <w:tc>
          <w:tcPr>
            <w:tcW w:w="920" w:type="dxa"/>
            <w:vAlign w:val="bottom"/>
          </w:tcPr>
          <w:p>
            <w:pPr>
              <w:jc w:val="center"/>
              <w:ind w:right="31"/>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7"/>
        </w:trPr>
        <w:tc>
          <w:tcPr>
            <w:tcW w:w="2600" w:type="dxa"/>
            <w:vAlign w:val="bottom"/>
          </w:tcPr>
          <w:p>
            <w:pPr>
              <w:spacing w:after="0"/>
              <w:rPr>
                <w:sz w:val="15"/>
                <w:szCs w:val="15"/>
                <w:color w:val="auto"/>
              </w:rPr>
            </w:pPr>
          </w:p>
        </w:tc>
        <w:tc>
          <w:tcPr>
            <w:tcW w:w="74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Deficit</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Interests</w:t>
            </w:r>
          </w:p>
        </w:tc>
        <w:tc>
          <w:tcPr>
            <w:tcW w:w="100" w:type="dxa"/>
            <w:vAlign w:val="bottom"/>
          </w:tcPr>
          <w:p>
            <w:pPr>
              <w:spacing w:after="0"/>
              <w:rPr>
                <w:sz w:val="15"/>
                <w:szCs w:val="15"/>
                <w:color w:val="auto"/>
              </w:rPr>
            </w:pPr>
          </w:p>
        </w:tc>
        <w:tc>
          <w:tcPr>
            <w:tcW w:w="920" w:type="dxa"/>
            <w:vAlign w:val="bottom"/>
          </w:tcPr>
          <w:p>
            <w:pPr>
              <w:jc w:val="center"/>
              <w:ind w:right="11"/>
              <w:spacing w:after="0"/>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188"/>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99,399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711,487</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(732,422)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(27,899)</w:t>
            </w: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color w:val="auto"/>
              </w:rPr>
              <w:t>Net loss</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(17,173)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(16,959)</w:t>
            </w:r>
          </w:p>
        </w:tc>
        <w:tc>
          <w:tcPr>
            <w:tcW w:w="0" w:type="dxa"/>
            <w:vAlign w:val="bottom"/>
          </w:tcPr>
          <w:p>
            <w:pPr>
              <w:spacing w:after="0"/>
              <w:rPr>
                <w:sz w:val="1"/>
                <w:szCs w:val="1"/>
                <w:color w:val="auto"/>
              </w:rPr>
            </w:pPr>
          </w:p>
        </w:tc>
      </w:tr>
      <w:tr>
        <w:trPr>
          <w:trHeight w:val="192"/>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line="135" w:lineRule="exact"/>
              <w:rPr>
                <w:sz w:val="20"/>
                <w:szCs w:val="20"/>
                <w:color w:val="auto"/>
              </w:rPr>
            </w:pPr>
            <w:r>
              <w:rPr>
                <w:rFonts w:ascii="Arial" w:cs="Arial" w:eastAsia="Arial" w:hAnsi="Arial"/>
                <w:sz w:val="14"/>
                <w:szCs w:val="14"/>
                <w:color w:val="auto"/>
              </w:rPr>
              <w:t>Exercise of stock options, vesting of</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line="135" w:lineRule="exact"/>
              <w:rPr>
                <w:sz w:val="20"/>
                <w:szCs w:val="20"/>
                <w:color w:val="auto"/>
              </w:rPr>
            </w:pPr>
            <w:r>
              <w:rPr>
                <w:rFonts w:ascii="Arial" w:cs="Arial" w:eastAsia="Arial" w:hAnsi="Arial"/>
                <w:sz w:val="14"/>
                <w:szCs w:val="14"/>
                <w:color w:val="auto"/>
                <w:w w:val="92"/>
              </w:rPr>
              <w:t>restricted stock units and stock issued under</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1,429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1,560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1,561</w:t>
            </w: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6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Taxes withheld on net settled vesting of</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line="135" w:lineRule="exact"/>
              <w:rPr>
                <w:sz w:val="20"/>
                <w:szCs w:val="20"/>
                <w:color w:val="auto"/>
              </w:rPr>
            </w:pPr>
            <w:r>
              <w:rPr>
                <w:rFonts w:ascii="Arial" w:cs="Arial" w:eastAsia="Arial" w:hAnsi="Arial"/>
                <w:sz w:val="14"/>
                <w:szCs w:val="14"/>
                <w:color w:val="auto"/>
                <w:w w:val="97"/>
              </w:rPr>
              <w:t>Issuance of common shares in connection</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5,382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5,383</w:t>
            </w: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color w:val="auto"/>
              </w:rPr>
              <w:t>with conversion of 2025 Notes</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6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Issuance of common shares in connection</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29,426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29,428</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with a public offering, net of issuance costs</w:t>
            </w: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9,098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9,098</w:t>
            </w:r>
          </w:p>
        </w:tc>
        <w:tc>
          <w:tcPr>
            <w:tcW w:w="0" w:type="dxa"/>
            <w:vAlign w:val="bottom"/>
          </w:tcPr>
          <w:p>
            <w:pPr>
              <w:spacing w:after="0"/>
              <w:rPr>
                <w:sz w:val="1"/>
                <w:szCs w:val="1"/>
                <w:color w:val="auto"/>
              </w:rPr>
            </w:pPr>
          </w:p>
        </w:tc>
      </w:tr>
      <w:tr>
        <w:trPr>
          <w:trHeight w:val="192"/>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noncontrolling interest acquired</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color w:val="auto"/>
              </w:rPr>
              <w:t>Series E preferred stock dividends</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102,773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757,352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(750,221)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(1,463)</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2021</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105,381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770,619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(787,047)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(24,854)</w:t>
            </w: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color w:val="auto"/>
              </w:rPr>
              <w:t>Net loss</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(25,223)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(25,223)</w:t>
            </w:r>
          </w:p>
        </w:tc>
        <w:tc>
          <w:tcPr>
            <w:tcW w:w="0" w:type="dxa"/>
            <w:vAlign w:val="bottom"/>
          </w:tcPr>
          <w:p>
            <w:pPr>
              <w:spacing w:after="0"/>
              <w:rPr>
                <w:sz w:val="1"/>
                <w:szCs w:val="1"/>
                <w:color w:val="auto"/>
              </w:rPr>
            </w:pPr>
          </w:p>
        </w:tc>
      </w:tr>
      <w:tr>
        <w:trPr>
          <w:trHeight w:val="192"/>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2,898</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line="135" w:lineRule="exact"/>
              <w:rPr>
                <w:sz w:val="20"/>
                <w:szCs w:val="20"/>
                <w:color w:val="auto"/>
              </w:rPr>
            </w:pPr>
            <w:r>
              <w:rPr>
                <w:rFonts w:ascii="Arial" w:cs="Arial" w:eastAsia="Arial" w:hAnsi="Arial"/>
                <w:sz w:val="14"/>
                <w:szCs w:val="14"/>
                <w:color w:val="auto"/>
              </w:rPr>
              <w:t>Adjustment relating to extinguishment of</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1,728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1,728</w:t>
            </w: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color w:val="auto"/>
              </w:rPr>
              <w:t>2022 Notes</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6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Exercise of stock options, vesting of</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2"/>
              </w:rPr>
              <w:t>restricted stock units and stock issued under</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line="135" w:lineRule="exact"/>
              <w:rPr>
                <w:sz w:val="20"/>
                <w:szCs w:val="20"/>
                <w:color w:val="auto"/>
              </w:rPr>
            </w:pPr>
            <w:r>
              <w:rPr>
                <w:rFonts w:ascii="Arial" w:cs="Arial" w:eastAsia="Arial" w:hAnsi="Arial"/>
                <w:sz w:val="14"/>
                <w:szCs w:val="14"/>
                <w:color w:val="auto"/>
              </w:rPr>
              <w:t>Taxes withheld on net settled vesting of</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11,199</w:t>
            </w: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color w:val="auto"/>
              </w:rPr>
              <w:t>Series E preferred stock dividends</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2022</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107,389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784,267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(812,931)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(34,190)</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23" w:right="35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9"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182"/>
        </w:trPr>
        <w:tc>
          <w:tcPr>
            <w:tcW w:w="6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1"/>
        </w:trPr>
        <w:tc>
          <w:tcPr>
            <w:tcW w:w="8160" w:type="dxa"/>
            <w:vAlign w:val="bottom"/>
            <w:gridSpan w:val="2"/>
          </w:tcPr>
          <w:p>
            <w:pPr>
              <w:spacing w:after="0"/>
              <w:rPr>
                <w:sz w:val="20"/>
                <w:szCs w:val="20"/>
                <w:color w:val="auto"/>
              </w:rPr>
            </w:pPr>
            <w:r>
              <w:rPr>
                <w:rFonts w:ascii="Arial" w:cs="Arial" w:eastAsia="Arial" w:hAnsi="Arial"/>
                <w:sz w:val="15"/>
                <w:szCs w:val="15"/>
                <w:color w:val="auto"/>
              </w:rPr>
              <w:t>Cash flows from operating activities:</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loss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(25,223)</w:t>
            </w: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(16,959)</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5"/>
                <w:szCs w:val="15"/>
                <w:color w:val="auto"/>
              </w:rPr>
              <w:t>Adjustments to reconcile net loss to net cash (used in) provided by operating activities:</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81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Depreciation and amortization</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6,230</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8100" w:type="dxa"/>
            <w:vAlign w:val="bottom"/>
          </w:tcPr>
          <w:p>
            <w:pPr>
              <w:ind w:left="400"/>
              <w:spacing w:after="0"/>
              <w:rPr>
                <w:sz w:val="20"/>
                <w:szCs w:val="20"/>
                <w:color w:val="auto"/>
              </w:rPr>
            </w:pPr>
            <w:r>
              <w:rPr>
                <w:rFonts w:ascii="Arial" w:cs="Arial" w:eastAsia="Arial" w:hAnsi="Arial"/>
                <w:sz w:val="15"/>
                <w:szCs w:val="15"/>
                <w:color w:val="auto"/>
              </w:rPr>
              <w:t>Provision for bad debts, net of recoveries</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81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Provision for excess and obsolete inventory</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8100" w:type="dxa"/>
            <w:vAlign w:val="bottom"/>
          </w:tcPr>
          <w:p>
            <w:pPr>
              <w:ind w:left="400"/>
              <w:spacing w:after="0"/>
              <w:rPr>
                <w:sz w:val="20"/>
                <w:szCs w:val="20"/>
                <w:color w:val="auto"/>
              </w:rPr>
            </w:pPr>
            <w:r>
              <w:rPr>
                <w:rFonts w:ascii="Arial" w:cs="Arial" w:eastAsia="Arial" w:hAnsi="Arial"/>
                <w:sz w:val="15"/>
                <w:szCs w:val="15"/>
                <w:color w:val="auto"/>
              </w:rPr>
              <w:t>Share-based compensation expense</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11,199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9,098</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81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Amortization of debt discount and debt issuance costs</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8100" w:type="dxa"/>
            <w:vAlign w:val="bottom"/>
          </w:tcPr>
          <w:p>
            <w:pPr>
              <w:ind w:left="400"/>
              <w:spacing w:after="0"/>
              <w:rPr>
                <w:sz w:val="20"/>
                <w:szCs w:val="20"/>
                <w:color w:val="auto"/>
              </w:rPr>
            </w:pPr>
            <w:r>
              <w:rPr>
                <w:rFonts w:ascii="Arial" w:cs="Arial" w:eastAsia="Arial" w:hAnsi="Arial"/>
                <w:sz w:val="15"/>
                <w:szCs w:val="15"/>
                <w:color w:val="auto"/>
              </w:rPr>
              <w:t>Fair value adjustment on derivative instrument</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(609)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(1,951)</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81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Loss on debt conversion and extinguishment, net</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8100" w:type="dxa"/>
            <w:vAlign w:val="bottom"/>
          </w:tcPr>
          <w:p>
            <w:pPr>
              <w:ind w:left="400"/>
              <w:spacing w:after="0"/>
              <w:rPr>
                <w:sz w:val="20"/>
                <w:szCs w:val="20"/>
                <w:color w:val="auto"/>
              </w:rPr>
            </w:pPr>
            <w:r>
              <w:rPr>
                <w:rFonts w:ascii="Arial" w:cs="Arial" w:eastAsia="Arial" w:hAnsi="Arial"/>
                <w:sz w:val="15"/>
                <w:szCs w:val="15"/>
                <w:color w:val="auto"/>
              </w:rPr>
              <w:t>Deferred income taxes</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326</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81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Right-of-use assets</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512</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8100" w:type="dxa"/>
            <w:vAlign w:val="bottom"/>
          </w:tcPr>
          <w:p>
            <w:pPr>
              <w:ind w:left="400"/>
              <w:spacing w:after="0"/>
              <w:rPr>
                <w:sz w:val="20"/>
                <w:szCs w:val="20"/>
                <w:color w:val="auto"/>
              </w:rPr>
            </w:pPr>
            <w:r>
              <w:rPr>
                <w:rFonts w:ascii="Arial" w:cs="Arial" w:eastAsia="Arial" w:hAnsi="Arial"/>
                <w:sz w:val="15"/>
                <w:szCs w:val="15"/>
                <w:color w:val="auto"/>
              </w:rPr>
              <w:t>Other</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81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Changes in assets and liabilities, net of effects of divestiture:</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8100" w:type="dxa"/>
            <w:vAlign w:val="bottom"/>
          </w:tcPr>
          <w:p>
            <w:pPr>
              <w:ind w:left="600"/>
              <w:spacing w:after="0"/>
              <w:rPr>
                <w:sz w:val="20"/>
                <w:szCs w:val="20"/>
                <w:color w:val="auto"/>
              </w:rPr>
            </w:pPr>
            <w:r>
              <w:rPr>
                <w:rFonts w:ascii="Arial" w:cs="Arial" w:eastAsia="Arial" w:hAnsi="Arial"/>
                <w:sz w:val="15"/>
                <w:szCs w:val="15"/>
                <w:color w:val="auto"/>
              </w:rPr>
              <w:t>Accounts receivable</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5,477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2,668</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81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Inventories</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(5,414)</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8100" w:type="dxa"/>
            <w:vAlign w:val="bottom"/>
          </w:tcPr>
          <w:p>
            <w:pPr>
              <w:ind w:left="600"/>
              <w:spacing w:after="0"/>
              <w:rPr>
                <w:sz w:val="20"/>
                <w:szCs w:val="20"/>
                <w:color w:val="auto"/>
              </w:rPr>
            </w:pPr>
            <w:r>
              <w:rPr>
                <w:rFonts w:ascii="Arial" w:cs="Arial" w:eastAsia="Arial" w:hAnsi="Arial"/>
                <w:sz w:val="15"/>
                <w:szCs w:val="15"/>
                <w:color w:val="auto"/>
              </w:rPr>
              <w:t>Prepaid expenses and other assets</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2,701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1,198</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81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Accounts payable</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(10,400)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(1,937)</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8100" w:type="dxa"/>
            <w:vAlign w:val="bottom"/>
          </w:tcPr>
          <w:p>
            <w:pPr>
              <w:ind w:left="600"/>
              <w:spacing w:after="0"/>
              <w:rPr>
                <w:sz w:val="20"/>
                <w:szCs w:val="20"/>
                <w:color w:val="auto"/>
              </w:rPr>
            </w:pPr>
            <w:r>
              <w:rPr>
                <w:rFonts w:ascii="Arial" w:cs="Arial" w:eastAsia="Arial" w:hAnsi="Arial"/>
                <w:sz w:val="15"/>
                <w:szCs w:val="15"/>
                <w:color w:val="auto"/>
              </w:rPr>
              <w:t>Accrued expenses, income taxes, and other</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6,819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6,898</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81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Operating lease liabilities</w:t>
            </w:r>
          </w:p>
        </w:tc>
        <w:tc>
          <w:tcPr>
            <w:tcW w:w="5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(354)</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(537)</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8100" w:type="dxa"/>
            <w:vAlign w:val="bottom"/>
          </w:tcPr>
          <w:p>
            <w:pPr>
              <w:ind w:left="800"/>
              <w:spacing w:after="0"/>
              <w:rPr>
                <w:sz w:val="20"/>
                <w:szCs w:val="20"/>
                <w:color w:val="auto"/>
              </w:rPr>
            </w:pPr>
            <w:r>
              <w:rPr>
                <w:rFonts w:ascii="Arial" w:cs="Arial" w:eastAsia="Arial" w:hAnsi="Arial"/>
                <w:sz w:val="15"/>
                <w:szCs w:val="15"/>
                <w:color w:val="auto"/>
              </w:rPr>
              <w:t>Net cash (used in) provided by operating activities</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(638)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973</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investing activities:</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5"/>
                <w:szCs w:val="15"/>
                <w:color w:val="auto"/>
              </w:rPr>
              <w:t>Acquisition of noncontrolling interest</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Purchases of property, plant and equipment</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(1,324)</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5"/>
                <w:szCs w:val="15"/>
                <w:color w:val="auto"/>
              </w:rPr>
              <w:t>Proceeds from the sale of property, plant and equipment</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Additions to capitalized software development costs</w:t>
            </w:r>
          </w:p>
        </w:tc>
        <w:tc>
          <w:tcPr>
            <w:tcW w:w="5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(3,127)</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(7,977)</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8100" w:type="dxa"/>
            <w:vAlign w:val="bottom"/>
          </w:tcPr>
          <w:p>
            <w:pPr>
              <w:ind w:left="800"/>
              <w:spacing w:after="0"/>
              <w:rPr>
                <w:sz w:val="20"/>
                <w:szCs w:val="20"/>
                <w:color w:val="auto"/>
              </w:rPr>
            </w:pPr>
            <w:r>
              <w:rPr>
                <w:rFonts w:ascii="Arial" w:cs="Arial" w:eastAsia="Arial" w:hAnsi="Arial"/>
                <w:sz w:val="15"/>
                <w:szCs w:val="15"/>
                <w:color w:val="auto"/>
              </w:rPr>
              <w:t>Net cash used in investing activities</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(3,890)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(9,396)</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financing activities:</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5"/>
                <w:szCs w:val="15"/>
                <w:color w:val="auto"/>
              </w:rPr>
              <w:t>Net borrowing of bank and overdraft facilities</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263</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Principal payments under finance lease obligations</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5"/>
                <w:szCs w:val="15"/>
                <w:color w:val="auto"/>
              </w:rPr>
              <w:t>Proceeds from a public offering, net of issuance costs</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29,428</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Principal repayments on financed other assets</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(1,237)</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810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w w:val="97"/>
              </w:rPr>
              <w:t>Proceeds from stock option exercises and employee stock purchase plan, net of taxes paid on vested restricted stock units</w:t>
            </w:r>
          </w:p>
        </w:tc>
        <w:tc>
          <w:tcPr>
            <w:tcW w:w="5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1,093</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8100" w:type="dxa"/>
            <w:vAlign w:val="bottom"/>
            <w:shd w:val="clear" w:color="auto" w:fill="CCEEFF"/>
          </w:tcPr>
          <w:p>
            <w:pPr>
              <w:ind w:left="800"/>
              <w:spacing w:after="0"/>
              <w:rPr>
                <w:sz w:val="20"/>
                <w:szCs w:val="20"/>
                <w:color w:val="auto"/>
              </w:rPr>
            </w:pPr>
            <w:r>
              <w:rPr>
                <w:rFonts w:ascii="Arial" w:cs="Arial" w:eastAsia="Arial" w:hAnsi="Arial"/>
                <w:sz w:val="15"/>
                <w:szCs w:val="15"/>
                <w:color w:val="auto"/>
              </w:rPr>
              <w:t>Net cash (used in) provided by financing activities</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29,547</w:t>
            </w:r>
          </w:p>
        </w:tc>
        <w:tc>
          <w:tcPr>
            <w:tcW w:w="0" w:type="dxa"/>
            <w:vAlign w:val="bottom"/>
          </w:tcPr>
          <w:p>
            <w:pPr>
              <w:spacing w:after="0"/>
              <w:rPr>
                <w:sz w:val="1"/>
                <w:szCs w:val="1"/>
                <w:color w:val="auto"/>
              </w:rPr>
            </w:pPr>
          </w:p>
        </w:tc>
      </w:tr>
      <w:tr>
        <w:trPr>
          <w:trHeight w:val="198"/>
        </w:trPr>
        <w:tc>
          <w:tcPr>
            <w:tcW w:w="8160" w:type="dxa"/>
            <w:vAlign w:val="bottom"/>
            <w:gridSpan w:val="2"/>
          </w:tcPr>
          <w:p>
            <w:pPr>
              <w:spacing w:after="0"/>
              <w:rPr>
                <w:sz w:val="20"/>
                <w:szCs w:val="20"/>
                <w:color w:val="auto"/>
              </w:rPr>
            </w:pPr>
            <w:r>
              <w:rPr>
                <w:rFonts w:ascii="Arial" w:cs="Arial" w:eastAsia="Arial" w:hAnsi="Arial"/>
                <w:sz w:val="15"/>
                <w:szCs w:val="15"/>
                <w:color w:val="auto"/>
              </w:rPr>
              <w:t>Effect of exchange rates on cash</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957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(1,589)</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8100" w:type="dxa"/>
            <w:vAlign w:val="bottom"/>
            <w:tcBorders>
              <w:top w:val="single" w:sz="8" w:color="CCEEFF"/>
            </w:tcBorders>
            <w:shd w:val="clear" w:color="auto" w:fill="CCEEFF"/>
          </w:tcPr>
          <w:p>
            <w:pPr>
              <w:ind w:left="1040"/>
              <w:spacing w:after="0"/>
              <w:rPr>
                <w:sz w:val="20"/>
                <w:szCs w:val="20"/>
                <w:color w:val="auto"/>
              </w:rPr>
            </w:pPr>
            <w:r>
              <w:rPr>
                <w:rFonts w:ascii="Arial" w:cs="Arial" w:eastAsia="Arial" w:hAnsi="Arial"/>
                <w:sz w:val="15"/>
                <w:szCs w:val="15"/>
                <w:color w:val="auto"/>
              </w:rPr>
              <w:t>Net (decrease) increase in cash, cash equivalents and restricted cash</w:t>
            </w: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(4,631)</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19,535</w:t>
            </w:r>
          </w:p>
        </w:tc>
        <w:tc>
          <w:tcPr>
            <w:tcW w:w="0" w:type="dxa"/>
            <w:vAlign w:val="bottom"/>
          </w:tcPr>
          <w:p>
            <w:pPr>
              <w:spacing w:after="0"/>
              <w:rPr>
                <w:sz w:val="1"/>
                <w:szCs w:val="1"/>
                <w:color w:val="auto"/>
              </w:rPr>
            </w:pPr>
          </w:p>
        </w:tc>
      </w:tr>
      <w:tr>
        <w:trPr>
          <w:trHeight w:val="199"/>
        </w:trPr>
        <w:tc>
          <w:tcPr>
            <w:tcW w:w="8160" w:type="dxa"/>
            <w:vAlign w:val="bottom"/>
            <w:gridSpan w:val="2"/>
          </w:tcPr>
          <w:p>
            <w:pPr>
              <w:spacing w:after="0"/>
              <w:rPr>
                <w:sz w:val="20"/>
                <w:szCs w:val="20"/>
                <w:color w:val="auto"/>
              </w:rPr>
            </w:pPr>
            <w:r>
              <w:rPr>
                <w:rFonts w:ascii="Arial" w:cs="Arial" w:eastAsia="Arial" w:hAnsi="Arial"/>
                <w:sz w:val="15"/>
                <w:szCs w:val="15"/>
                <w:color w:val="auto"/>
              </w:rPr>
              <w:t>Cash, cash equivalents and restricted cash, beginning of period</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49,812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40,015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5"/>
                <w:szCs w:val="15"/>
                <w:color w:val="auto"/>
              </w:rPr>
              <w:t>Cash, cash equivalents and restricted cash, end of period</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45,181</w:t>
            </w: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59,550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5"/>
                <w:szCs w:val="15"/>
                <w:color w:val="auto"/>
              </w:rPr>
              <w:t>Supplemental disclosures of cash flow information:</w:t>
            </w: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1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paid during the year for:</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8100" w:type="dxa"/>
            <w:vAlign w:val="bottom"/>
          </w:tcPr>
          <w:p>
            <w:pPr>
              <w:ind w:left="400"/>
              <w:spacing w:after="0"/>
              <w:rPr>
                <w:sz w:val="20"/>
                <w:szCs w:val="20"/>
                <w:color w:val="auto"/>
              </w:rPr>
            </w:pPr>
            <w:r>
              <w:rPr>
                <w:rFonts w:ascii="Arial" w:cs="Arial" w:eastAsia="Arial" w:hAnsi="Arial"/>
                <w:sz w:val="15"/>
                <w:szCs w:val="15"/>
                <w:color w:val="auto"/>
              </w:rPr>
              <w:t>Interest</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81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Income taxes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03"/>
        </w:trPr>
        <w:tc>
          <w:tcPr>
            <w:tcW w:w="816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5"/>
                <w:szCs w:val="15"/>
                <w:color w:val="auto"/>
              </w:rPr>
              <w:t>Supplemental disclosures of non-cash activities:</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8100" w:type="dxa"/>
            <w:vAlign w:val="bottom"/>
          </w:tcPr>
          <w:p>
            <w:pPr>
              <w:ind w:left="400"/>
              <w:spacing w:after="0"/>
              <w:rPr>
                <w:sz w:val="20"/>
                <w:szCs w:val="20"/>
                <w:color w:val="auto"/>
              </w:rPr>
            </w:pPr>
            <w:r>
              <w:rPr>
                <w:rFonts w:ascii="Arial" w:cs="Arial" w:eastAsia="Arial" w:hAnsi="Arial"/>
                <w:sz w:val="15"/>
                <w:szCs w:val="15"/>
                <w:color w:val="auto"/>
              </w:rPr>
              <w:t>Transfer of inventories to rental assets</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225</w:t>
            </w:r>
          </w:p>
        </w:tc>
        <w:tc>
          <w:tcPr>
            <w:tcW w:w="46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1,289</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81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Capital expenditures financed through accounts payable or accrued liabilities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2,105</w:t>
            </w: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2,890</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8100" w:type="dxa"/>
            <w:vAlign w:val="bottom"/>
          </w:tcPr>
          <w:p>
            <w:pPr>
              <w:ind w:left="400"/>
              <w:spacing w:after="0"/>
              <w:rPr>
                <w:sz w:val="20"/>
                <w:szCs w:val="20"/>
                <w:color w:val="auto"/>
              </w:rPr>
            </w:pPr>
            <w:r>
              <w:rPr>
                <w:rFonts w:ascii="Arial" w:cs="Arial" w:eastAsia="Arial" w:hAnsi="Arial"/>
                <w:sz w:val="15"/>
                <w:szCs w:val="15"/>
                <w:color w:val="auto"/>
              </w:rPr>
              <w:t>Right-of-use assets obtained in exchange for operating leases liabilities</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79</w:t>
            </w:r>
          </w:p>
        </w:tc>
        <w:tc>
          <w:tcPr>
            <w:tcW w:w="46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148</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81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2025 Notes conversion, including shares issued in satisfaction of interest make-whole payment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459"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information contained herein has been prepared by Inseego Corp. (the “Company”) in accordance with the rules of the Securities and Exchange Commission (the “SEC”). The information at March 31, 2022 and the results of the Company’s operations for the three months ended March 31, 2022 and 2021 are unaudited. The condensed consolidated financial statements reflect all adjustments, consisting of only normal recurring accruals, except otherwise disclosed herein, which are, in the opinion of management, necessary for a fair statement of the results of the interim periods presented. These unaudited condensed consolidated financial statements and notes hereto should be read in conjunction with the audited financial statements and notes thereto included in the Company’s Annual Report on Form 10-K for the year ended December 31, 2021. The year-end condensed consolidated balance sheet data as of December 31, 2021 was derived from the Company’s audited consolidated financial statements and may not include all disclosures required by accounting principles generally accepted in the United States. Certain prior period amounts were reclassified to conform to the current period presentation. These reclassifications did not affect total revenues, costs and expenses, net loss, assets, liabilities or stockholders’ deficit. Except as set forth below, the accounting policies used in preparing these unaudited condensed consolidated financial statements are the same as those described in the Company’s Annual Report on Form 10-K for the year ended December 31, 2021. The results of operations for the interim periods presented are not necessarily indicative of results to be expected for any other interim period or for the year as a whole.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 December 2019, the novel coronavirus (“COVID-19”) was reported to have surfaced in Wuhan, China, resulting in shutdowns of manufacturing and commerce globally in the months that followed. Since then, the COVID-19 pandemic has spread worldwide, and has resulted in authorities implementing numerous measures to try to contain the disease or slow its spread, such as travel bans and restrictions, quarantines, shelter-in-place orders and shutdowns. The extent of the impact of the COVID-19 pandemic on the Company’s operational and financial performance will depend on future developments, including the duration and spread of the pandemic and related actions taken by the U.S. government, state and local government officials, and international governments to prevent the spread of the disease, all of which are uncertain and cannot be predicted.</w:t>
      </w:r>
    </w:p>
    <w:p>
      <w:pPr>
        <w:spacing w:after="0" w:line="202"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In addition, a global semiconductor supply shortage is having wide-ranging effects across the technology industry. This semiconductor shortage has not materially impacted the Company but may impact the Company’s customers, and may negatively impact the supply of materials needed for our testing and production timeline. Our suppliers, contract manufacturers, and our customers are all taking actions to reduce the impact of the semiconductor shortage; however, if the shortage persists, the impact on our business could be material.</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the Company had available cash and cash equivalents totaling $41.5 million, excluding restricted cash of $3.7 million.</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On July 30, 2021, the Company completed the sale of its Ctrack business operations in Africa, Pakistan and the Middle East (together “Ctrack South</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Africa”). Initial cash proceeds of approximately $36.6 million were received. Net cash proceeds received were $31.5 million, net of cash divested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$5.0 million. Final cash proceeds were subject to certain post-closing working capital adjustments which totaled $2.6 million, out of which $2.2 million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was received on October 29, 2021, and the remaining $0.4 million was offset with the Company’s existing accounts payable balance to an affiliate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Convergence Partners (“Convergence”), an investment management firm in South Africa.</w:t>
      </w:r>
    </w:p>
    <w:p>
      <w:pPr>
        <w:spacing w:after="0" w:line="88" w:lineRule="exact"/>
        <w:rPr>
          <w:sz w:val="20"/>
          <w:szCs w:val="20"/>
          <w:color w:val="auto"/>
        </w:rPr>
      </w:pPr>
    </w:p>
    <w:p>
      <w:pPr>
        <w:ind w:right="400"/>
        <w:spacing w:after="0" w:line="262" w:lineRule="auto"/>
        <w:rPr>
          <w:sz w:val="20"/>
          <w:szCs w:val="20"/>
          <w:color w:val="auto"/>
        </w:rPr>
      </w:pPr>
      <w:r>
        <w:rPr>
          <w:rFonts w:ascii="Arial" w:cs="Arial" w:eastAsia="Arial" w:hAnsi="Arial"/>
          <w:sz w:val="17"/>
          <w:szCs w:val="17"/>
          <w:color w:val="auto"/>
        </w:rPr>
        <w:t>On January 25, 2021, the Company entered into an Equity Distribution Agreement with Canaccord Genuity LLC (the “Agent”), pursuant to which the Company may offer and sell, from time to time, through or to the Agent, up to $40.0 million of shares of its common stock (the “ATM Offering”). In January 2021, the Company sold 1,516,073 shares of common stock, at an average price of $20.11 per share, for net proceeds of $29.4 million, after deducting underwriter fees and discounts of $0.9 million, and other offering fees, pursuant to the ATM Offering.</w:t>
      </w:r>
    </w:p>
    <w:p>
      <w:pPr>
        <w:spacing w:after="0" w:line="64"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The Company has a history of operating and net losses and overall usage of cash from operating and investing activities. The Company’s management believes that its cash and cash equivalents, together with anticipated cash flows from operations, will be sufficient to meet its cash flow needs for the next twelve months from the filing date of this report. The Company’s ability to attain more profitable operations and continue to generate positive cash flow is dependent upon achieving a level and mix of revenues adequate to support its evolving cost structure. If events or circumstances occur such that the Company does not meet its operating plan as expected, or if the Company becomes obligated to pay unforeseen expenditures as a result of ongoing litigation, the Company may be required to raise capital, reduce planned research and development activities, incur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additional restructuring charges or reduce other operating expenses which could have an adverse impact on its ability to achieve its intended business objectives.</w:t>
      </w:r>
    </w:p>
    <w:p>
      <w:pPr>
        <w:spacing w:after="0" w:line="11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Company’s liquidity could be impaired if there is any interruption in its business operations, a material failure to satisfy its contractual commitments or a failure to generate revenue from new or existing products. There can be no assurance that any required or desired restructuring or financing will be available on terms favorable to the Company, or at all. Additionally, the Company is uncertain of the full extent to which the COVID-19 pandemic will impact the Company’s business, operations and financial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wholly-owned subsidiaries. All intercompany transactions and balances have been eliminated in consolidation.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0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Management has determined that the Company has one reportable segment. The Chief Executive Officer, who is also the Chief Operating Decision Maker, does not manage any part of the Company separately, and the allocation of resources and assessment of performance is based solely on the Company’s consolidated operations and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and expenses, and the disclosure of contingent liabilities. Actual results could differ materially from these estimates. Estimates are assessed each period and updated to reflect current information, such as the economic considerations related to the impact that the COVID-19 pandemic could have on our significant accounting estimates. Significant estimates include revenue recognition, capitalized software costs, allowance for credit losses, provision for excess and obsolete inventory, valuation of intangible and long-lived assets, valuation of goodwill, valuation of derivatives, accruals relating to litigation, income taxes and share-based compensation expense.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0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Cash and cash equivalents include highly liquid investments with original maturities of three months or less. The Company’s cash and cash equivalents are generally held with large financial institutions worldwide to reduce the amount of exposure to any credit risk. Restricted cash consists of Company funds in escrow with a financial institution as collateral for potential future uninsured warranty claims related to the divestiture of Ctrack South Africa. Cash, cash equivalents and restricted cash are recorded at market value, which approximates cost. Gains and losses associated with the Company’s foreign currency denominated demand deposits are recorded as a component of other income, net, in the consolidated statements of operations. The following table provides a reconciliation of cash, cash equivalents and restricted cash as reported within the consolidated balance sheets to “Cash, cash equivalents, and restricted cash, end of period” as reported within the consolidated statements of cash flows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103"/>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8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r>
      <w:tr>
        <w:trPr>
          <w:trHeight w:val="211"/>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46,474</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3,338</w:t>
            </w:r>
          </w:p>
        </w:tc>
      </w:tr>
      <w:tr>
        <w:trPr>
          <w:trHeight w:val="237"/>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49,812</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 xml:space="preserve">In August 2020, the FASB issued Accounting Standards Update (“ASU”) 2020-06, </w:t>
      </w:r>
      <w:r>
        <w:rPr>
          <w:rFonts w:ascii="Arial" w:cs="Arial" w:eastAsia="Arial" w:hAnsi="Arial"/>
          <w:sz w:val="17"/>
          <w:szCs w:val="17"/>
          <w:i w:val="1"/>
          <w:iCs w:val="1"/>
          <w:color w:val="auto"/>
        </w:rPr>
        <w:t>Debt with Conversion and Other Options (Subtopic 470-20) and</w:t>
      </w:r>
      <w:r>
        <w:rPr>
          <w:rFonts w:ascii="Arial" w:cs="Arial" w:eastAsia="Arial" w:hAnsi="Arial"/>
          <w:sz w:val="17"/>
          <w:szCs w:val="17"/>
          <w:color w:val="auto"/>
        </w:rPr>
        <w:t xml:space="preserve"> </w:t>
      </w:r>
      <w:r>
        <w:rPr>
          <w:rFonts w:ascii="Arial" w:cs="Arial" w:eastAsia="Arial" w:hAnsi="Arial"/>
          <w:sz w:val="17"/>
          <w:szCs w:val="17"/>
          <w:i w:val="1"/>
          <w:iCs w:val="1"/>
          <w:color w:val="auto"/>
        </w:rPr>
        <w:t>Derivatives and Hedging-Contracts in Entity's Own Equity (Subtopic 815-40)-Accounting For Convertible Instruments and Contracts in an Entity's Own Equity</w:t>
      </w:r>
      <w:r>
        <w:rPr>
          <w:rFonts w:ascii="Arial" w:cs="Arial" w:eastAsia="Arial" w:hAnsi="Arial"/>
          <w:sz w:val="17"/>
          <w:szCs w:val="17"/>
          <w:color w:val="auto"/>
        </w:rPr>
        <w:t>. The ASU simplifies accounting for convertible instruments by removing major separation models required under current GAAP. Consequently,</w:t>
      </w:r>
      <w:r>
        <w:rPr>
          <w:rFonts w:ascii="Arial" w:cs="Arial" w:eastAsia="Arial" w:hAnsi="Arial"/>
          <w:sz w:val="17"/>
          <w:szCs w:val="17"/>
          <w:i w:val="1"/>
          <w:iCs w:val="1"/>
          <w:color w:val="auto"/>
        </w:rPr>
        <w:t xml:space="preserve"> </w:t>
      </w:r>
      <w:r>
        <w:rPr>
          <w:rFonts w:ascii="Arial" w:cs="Arial" w:eastAsia="Arial" w:hAnsi="Arial"/>
          <w:sz w:val="17"/>
          <w:szCs w:val="17"/>
          <w:color w:val="auto"/>
        </w:rPr>
        <w:t>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net income per share calculation in certain</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areas. The new guidance is effective for annual and interim periods beginning after December 15, 2021. The Company adopted this standard in the first quarter of fiscal 2022 and it did not have an impact to the condensed consolidated financial statements.</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 xml:space="preserve">In May 2021, the FASB issued ASU 2021-04, </w:t>
      </w:r>
      <w:r>
        <w:rPr>
          <w:rFonts w:ascii="Arial" w:cs="Arial" w:eastAsia="Arial" w:hAnsi="Arial"/>
          <w:sz w:val="17"/>
          <w:szCs w:val="17"/>
          <w:i w:val="1"/>
          <w:iCs w:val="1"/>
          <w:color w:val="auto"/>
        </w:rPr>
        <w:t>Earnings Per Share (Topic 260), Debt-Modifications and Extinguishments (Subtopic 470-50),</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Compensation-Stock Compensation (Topic 718), and Derivatives and Hedging-Contracts in Entity’s Own Equity (Subtopic 815-40)</w:t>
      </w:r>
      <w:r>
        <w:rPr>
          <w:rFonts w:ascii="Arial" w:cs="Arial" w:eastAsia="Arial" w:hAnsi="Arial"/>
          <w:sz w:val="17"/>
          <w:szCs w:val="17"/>
          <w:color w:val="auto"/>
        </w:rPr>
        <w:t>. The new ASU</w:t>
      </w:r>
      <w:r>
        <w:rPr>
          <w:rFonts w:ascii="Arial" w:cs="Arial" w:eastAsia="Arial" w:hAnsi="Arial"/>
          <w:sz w:val="17"/>
          <w:szCs w:val="17"/>
          <w:i w:val="1"/>
          <w:iCs w:val="1"/>
          <w:color w:val="auto"/>
        </w:rPr>
        <w:t xml:space="preserve"> </w:t>
      </w:r>
      <w:r>
        <w:rPr>
          <w:rFonts w:ascii="Arial" w:cs="Arial" w:eastAsia="Arial" w:hAnsi="Arial"/>
          <w:sz w:val="17"/>
          <w:szCs w:val="17"/>
          <w:color w:val="auto"/>
        </w:rPr>
        <w:t>addresses issuer’s accounting for certain modifications or exchanges of freestanding equity-classified written call options. This amendment is effective for all entities for fiscal years beginning after December 15, 2021, including interim periods within those fiscal years. The Company adopted this standard in the first quarter of fiscal 2022 and it did not have an impact to the condensed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5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Other than the above mentioned recently adopted accounting pronouncements, there have been no recent accounting pronouncements, changes in accounting pronouncements or recent accounting pronouncements not yet adopted during the three months ended March 31, 2022 that are of significance or potential significance to the Company’s financial position, results of operations and cash flows.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Details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100" w:type="dxa"/>
            <w:vAlign w:val="bottom"/>
          </w:tcPr>
          <w:p>
            <w:pPr>
              <w:jc w:val="right"/>
              <w:ind w:right="123"/>
              <w:spacing w:after="0"/>
              <w:rPr>
                <w:sz w:val="20"/>
                <w:szCs w:val="20"/>
                <w:color w:val="auto"/>
              </w:rPr>
            </w:pPr>
            <w:r>
              <w:rPr>
                <w:rFonts w:ascii="Arial" w:cs="Arial" w:eastAsia="Arial" w:hAnsi="Arial"/>
                <w:sz w:val="14"/>
                <w:szCs w:val="14"/>
                <w:b w:val="1"/>
                <w:bCs w:val="1"/>
                <w:color w:val="auto"/>
                <w:w w:val="96"/>
              </w:rPr>
              <w:t>December 31,</w:t>
            </w:r>
          </w:p>
        </w:tc>
      </w:tr>
      <w:tr>
        <w:trPr>
          <w:trHeight w:val="188"/>
        </w:trPr>
        <w:tc>
          <w:tcPr>
            <w:tcW w:w="8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2021</w:t>
            </w:r>
          </w:p>
        </w:tc>
      </w:tr>
      <w:tr>
        <w:trPr>
          <w:trHeight w:val="211"/>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33,112</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Raw materials and components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4,290</w:t>
            </w:r>
          </w:p>
        </w:tc>
      </w:tr>
      <w:tr>
        <w:trPr>
          <w:trHeight w:val="235"/>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37,474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37,402</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expenses and 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consists of the following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101"/>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8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r>
      <w:tr>
        <w:trPr>
          <w:trHeight w:val="211"/>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Rebate receivables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6,398</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Receivables from contract manufacturers</w:t>
            </w:r>
          </w:p>
        </w:tc>
        <w:tc>
          <w:tcPr>
            <w:tcW w:w="2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1,553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2,626</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licenses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Insurance</w:t>
            </w:r>
          </w:p>
        </w:tc>
        <w:tc>
          <w:tcPr>
            <w:tcW w:w="2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1,269</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Deposits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Financed assets</w:t>
            </w:r>
          </w:p>
        </w:tc>
        <w:tc>
          <w:tcPr>
            <w:tcW w:w="2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1,159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w:t>
            </w:r>
          </w:p>
        </w:tc>
      </w:tr>
      <w:tr>
        <w:trPr>
          <w:trHeight w:val="209"/>
        </w:trPr>
        <w:tc>
          <w:tcPr>
            <w:tcW w:w="87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10,944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13,624</w:t>
            </w:r>
          </w:p>
        </w:tc>
      </w:tr>
      <w:tr>
        <w:trPr>
          <w:trHeight w:val="24"/>
        </w:trPr>
        <w:tc>
          <w:tcPr>
            <w:tcW w:w="8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1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December 31,</w:t>
            </w:r>
          </w:p>
        </w:tc>
      </w:tr>
      <w:tr>
        <w:trPr>
          <w:trHeight w:val="188"/>
        </w:trPr>
        <w:tc>
          <w:tcPr>
            <w:tcW w:w="8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r>
      <w:tr>
        <w:trPr>
          <w:trHeight w:val="211"/>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w:t>
            </w: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Payroll and related expenses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9,326</w:t>
            </w: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Warranty obligations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Bank overdrafts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877</w:t>
            </w: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liabilities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3,832</w:t>
            </w: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1,769</w:t>
            </w: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contract manufacturing liabilities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Liabilities related to financed assets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1,593</w:t>
            </w: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Value added tax payables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3,699</w:t>
            </w:r>
          </w:p>
        </w:tc>
      </w:tr>
      <w:tr>
        <w:trPr>
          <w:trHeight w:val="234"/>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accrued expenses and other current liabilities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32,485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26,253</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 of Assets and Liabilities</w:t>
      </w:r>
    </w:p>
    <w:p>
      <w:pPr>
        <w:spacing w:after="0" w:line="12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13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80" w:lineRule="exact"/>
        <w:rPr>
          <w:sz w:val="20"/>
          <w:szCs w:val="20"/>
          <w:color w:val="auto"/>
        </w:rPr>
      </w:pPr>
    </w:p>
    <w:p>
      <w:pPr>
        <w:ind w:left="1060" w:right="180" w:hanging="647"/>
        <w:spacing w:after="0" w:line="248" w:lineRule="auto"/>
        <w:tabs>
          <w:tab w:leader="none" w:pos="104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Pricing inputs are based on quoted market prices for identical assets or liabilities in active markets (e.g., NYSE or NASDAQ). Active markets are those in which transactions for the asset or liability occur in sufficient frequency and volume to provide pricing information on an ongoing basis.</w:t>
      </w:r>
    </w:p>
    <w:p>
      <w:pPr>
        <w:spacing w:after="0" w:line="74" w:lineRule="exact"/>
        <w:rPr>
          <w:sz w:val="20"/>
          <w:szCs w:val="20"/>
          <w:color w:val="auto"/>
        </w:rPr>
      </w:pPr>
    </w:p>
    <w:p>
      <w:pPr>
        <w:ind w:left="1060" w:right="480" w:hanging="647"/>
        <w:spacing w:after="0" w:line="243" w:lineRule="auto"/>
        <w:tabs>
          <w:tab w:leader="none" w:pos="104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Pricing inputs include benchmark yields, trade data, reported trades and broker dealer quotes, two-sided markets and industry and economic 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80" w:lineRule="exact"/>
        <w:rPr>
          <w:sz w:val="20"/>
          <w:szCs w:val="20"/>
          <w:color w:val="auto"/>
        </w:rPr>
      </w:pPr>
    </w:p>
    <w:p>
      <w:pPr>
        <w:ind w:left="1060" w:right="420" w:hanging="647"/>
        <w:spacing w:after="0" w:line="294" w:lineRule="auto"/>
        <w:tabs>
          <w:tab w:leader="none" w:pos="104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Pricing inputs include significant inputs that are generally less observable from objective sources, including the Company’s own assumptions. The fair market value for level 3 securities may be highly sensitive to the use of unobservable inputs and subjective assumptions. Generally, changes in significant unobservable inputs may result in significantly lower or higher fair value measurements.</w:t>
      </w:r>
    </w:p>
    <w:p>
      <w:pPr>
        <w:spacing w:after="0" w:line="93" w:lineRule="exact"/>
        <w:rPr>
          <w:sz w:val="20"/>
          <w:szCs w:val="20"/>
          <w:color w:val="auto"/>
        </w:rPr>
      </w:pPr>
    </w:p>
    <w:p>
      <w:pPr>
        <w:ind w:right="640"/>
        <w:spacing w:after="0" w:line="248"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three months ended March 31, 2022 or 2021.</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following tables summarize the Company’s financial instruments measured at fair value on a recurring basis in accordance with the authoritative guidance for fair value measurements as of March 31, 2022 and December 31, 2021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2022</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December 31, 2021</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6"/>
        </w:trPr>
        <w:tc>
          <w:tcPr>
            <w:tcW w:w="3660" w:type="dxa"/>
            <w:vAlign w:val="bottom"/>
          </w:tcPr>
          <w:p>
            <w:pPr>
              <w:spacing w:after="0"/>
              <w:rPr>
                <w:sz w:val="16"/>
                <w:szCs w:val="16"/>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 Fair Value</w:t>
            </w: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Level 3</w:t>
            </w:r>
          </w:p>
        </w:tc>
        <w:tc>
          <w:tcPr>
            <w:tcW w:w="240" w:type="dxa"/>
            <w:vAlign w:val="bottom"/>
          </w:tcPr>
          <w:p>
            <w:pPr>
              <w:spacing w:after="0"/>
              <w:rPr>
                <w:sz w:val="16"/>
                <w:szCs w:val="16"/>
                <w:color w:val="auto"/>
              </w:rPr>
            </w:pPr>
          </w:p>
        </w:tc>
        <w:tc>
          <w:tcPr>
            <w:tcW w:w="940" w:type="dxa"/>
            <w:vAlign w:val="bottom"/>
          </w:tcPr>
          <w:p>
            <w:pPr>
              <w:jc w:val="right"/>
              <w:ind w:right="281"/>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 Fair Value</w:t>
            </w:r>
          </w:p>
        </w:tc>
        <w:tc>
          <w:tcPr>
            <w:tcW w:w="24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6"/>
                <w:szCs w:val="16"/>
                <w:color w:val="auto"/>
              </w:rPr>
            </w:pPr>
          </w:p>
        </w:tc>
        <w:tc>
          <w:tcPr>
            <w:tcW w:w="940" w:type="dxa"/>
            <w:vAlign w:val="bottom"/>
          </w:tcPr>
          <w:p>
            <w:pPr>
              <w:jc w:val="right"/>
              <w:ind w:right="281"/>
              <w:spacing w:after="0"/>
              <w:rPr>
                <w:sz w:val="20"/>
                <w:szCs w:val="20"/>
                <w:color w:val="auto"/>
              </w:rPr>
            </w:pPr>
            <w:r>
              <w:rPr>
                <w:rFonts w:ascii="Arial" w:cs="Arial" w:eastAsia="Arial" w:hAnsi="Arial"/>
                <w:sz w:val="14"/>
                <w:szCs w:val="14"/>
                <w:b w:val="1"/>
                <w:bCs w:val="1"/>
                <w:color w:val="auto"/>
              </w:rPr>
              <w:t>Level 1</w:t>
            </w:r>
          </w:p>
        </w:tc>
      </w:tr>
      <w:tr>
        <w:trPr>
          <w:trHeight w:val="193"/>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219"/>
        </w:trPr>
        <w:tc>
          <w:tcPr>
            <w:tcW w:w="366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3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Money market funds</w:t>
            </w: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06"/>
        </w:trPr>
        <w:tc>
          <w:tcPr>
            <w:tcW w:w="366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7"/>
                <w:szCs w:val="17"/>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2025 Notes</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make-whole payment</w:t>
            </w: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66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317</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
        </w:trPr>
        <w:tc>
          <w:tcPr>
            <w:tcW w:w="366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r>
    </w:tbl>
    <w:p>
      <w:pPr>
        <w:spacing w:after="0" w:line="202" w:lineRule="exact"/>
        <w:rPr>
          <w:sz w:val="20"/>
          <w:szCs w:val="20"/>
          <w:color w:val="auto"/>
        </w:rPr>
      </w:pPr>
    </w:p>
    <w:p>
      <w:pPr>
        <w:ind w:right="940" w:firstLine="405"/>
        <w:spacing w:after="0" w:line="253" w:lineRule="auto"/>
        <w:rPr>
          <w:sz w:val="20"/>
          <w:szCs w:val="20"/>
          <w:color w:val="auto"/>
        </w:rPr>
      </w:pPr>
      <w:r>
        <w:rPr>
          <w:rFonts w:ascii="Arial" w:cs="Arial" w:eastAsia="Arial" w:hAnsi="Arial"/>
          <w:sz w:val="18"/>
          <w:szCs w:val="18"/>
          <w:color w:val="auto"/>
        </w:rPr>
        <w:t>The fair value of the interest make-whole payment derivative liability was determined using a Monte Carlo model with the following key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84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31, 2022</w:t>
            </w:r>
          </w:p>
        </w:tc>
        <w:tc>
          <w:tcPr>
            <w:tcW w:w="1760" w:type="dxa"/>
            <w:vAlign w:val="bottom"/>
          </w:tcPr>
          <w:p>
            <w:pPr>
              <w:jc w:val="right"/>
              <w:ind w:right="220"/>
              <w:spacing w:after="0"/>
              <w:rPr>
                <w:sz w:val="20"/>
                <w:szCs w:val="20"/>
                <w:color w:val="auto"/>
              </w:rPr>
            </w:pPr>
            <w:r>
              <w:rPr>
                <w:rFonts w:ascii="Arial" w:cs="Arial" w:eastAsia="Arial" w:hAnsi="Arial"/>
                <w:sz w:val="14"/>
                <w:szCs w:val="14"/>
                <w:b w:val="1"/>
                <w:bCs w:val="1"/>
                <w:color w:val="auto"/>
              </w:rPr>
              <w:t>December 31, 2021</w:t>
            </w:r>
          </w:p>
        </w:tc>
      </w:tr>
      <w:tr>
        <w:trPr>
          <w:trHeight w:val="216"/>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Stock price</w:t>
            </w:r>
          </w:p>
        </w:tc>
        <w:tc>
          <w:tcPr>
            <w:tcW w:w="1840" w:type="dxa"/>
            <w:vAlign w:val="bottom"/>
            <w:gridSpan w:val="2"/>
          </w:tcPr>
          <w:p>
            <w:pPr>
              <w:jc w:val="right"/>
              <w:ind w:right="100"/>
              <w:spacing w:after="0"/>
              <w:rPr>
                <w:sz w:val="20"/>
                <w:szCs w:val="20"/>
                <w:color w:val="auto"/>
              </w:rPr>
            </w:pPr>
            <w:r>
              <w:rPr>
                <w:rFonts w:ascii="Arial" w:cs="Arial" w:eastAsia="Arial" w:hAnsi="Arial"/>
                <w:sz w:val="16"/>
                <w:szCs w:val="16"/>
                <w:color w:val="auto"/>
              </w:rPr>
              <w:t>$4.05 per share</w:t>
            </w:r>
          </w:p>
        </w:tc>
        <w:tc>
          <w:tcPr>
            <w:tcW w:w="1760" w:type="dxa"/>
            <w:vAlign w:val="bottom"/>
          </w:tcPr>
          <w:p>
            <w:pPr>
              <w:jc w:val="right"/>
              <w:spacing w:after="0"/>
              <w:rPr>
                <w:sz w:val="20"/>
                <w:szCs w:val="20"/>
                <w:color w:val="auto"/>
              </w:rPr>
            </w:pPr>
            <w:r>
              <w:rPr>
                <w:rFonts w:ascii="Arial" w:cs="Arial" w:eastAsia="Arial" w:hAnsi="Arial"/>
                <w:sz w:val="16"/>
                <w:szCs w:val="16"/>
                <w:color w:val="auto"/>
              </w:rPr>
              <w:t>$5.83 per share</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spread</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15.93 %</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Term</w:t>
            </w:r>
          </w:p>
        </w:tc>
        <w:tc>
          <w:tcPr>
            <w:tcW w:w="1840" w:type="dxa"/>
            <w:vAlign w:val="bottom"/>
            <w:gridSpan w:val="2"/>
          </w:tcPr>
          <w:p>
            <w:pPr>
              <w:jc w:val="right"/>
              <w:ind w:right="100"/>
              <w:spacing w:after="0"/>
              <w:rPr>
                <w:sz w:val="20"/>
                <w:szCs w:val="20"/>
                <w:color w:val="auto"/>
              </w:rPr>
            </w:pPr>
            <w:r>
              <w:rPr>
                <w:rFonts w:ascii="Arial" w:cs="Arial" w:eastAsia="Arial" w:hAnsi="Arial"/>
                <w:sz w:val="16"/>
                <w:szCs w:val="16"/>
                <w:color w:val="auto"/>
              </w:rPr>
              <w:t>3.09 years</w:t>
            </w:r>
          </w:p>
        </w:tc>
        <w:tc>
          <w:tcPr>
            <w:tcW w:w="1760" w:type="dxa"/>
            <w:vAlign w:val="bottom"/>
          </w:tcPr>
          <w:p>
            <w:pPr>
              <w:jc w:val="right"/>
              <w:spacing w:after="0"/>
              <w:rPr>
                <w:sz w:val="20"/>
                <w:szCs w:val="20"/>
                <w:color w:val="auto"/>
              </w:rPr>
            </w:pPr>
            <w:r>
              <w:rPr>
                <w:rFonts w:ascii="Arial" w:cs="Arial" w:eastAsia="Arial" w:hAnsi="Arial"/>
                <w:sz w:val="16"/>
                <w:szCs w:val="16"/>
                <w:color w:val="auto"/>
              </w:rPr>
              <w:t>3.34 years</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7640" w:type="dxa"/>
            <w:vAlign w:val="bottom"/>
          </w:tcPr>
          <w:p>
            <w:pPr>
              <w:ind w:left="20"/>
              <w:spacing w:after="0"/>
              <w:rPr>
                <w:sz w:val="20"/>
                <w:szCs w:val="20"/>
                <w:color w:val="auto"/>
              </w:rPr>
            </w:pPr>
            <w:r>
              <w:rPr>
                <w:rFonts w:ascii="Arial" w:cs="Arial" w:eastAsia="Arial" w:hAnsi="Arial"/>
                <w:sz w:val="16"/>
                <w:szCs w:val="16"/>
                <w:color w:val="auto"/>
              </w:rPr>
              <w:t>Risk-free rate</w:t>
            </w:r>
          </w:p>
        </w:tc>
        <w:tc>
          <w:tcPr>
            <w:tcW w:w="1760" w:type="dxa"/>
            <w:vAlign w:val="bottom"/>
          </w:tcPr>
          <w:p>
            <w:pPr>
              <w:jc w:val="right"/>
              <w:spacing w:after="0"/>
              <w:rPr>
                <w:sz w:val="20"/>
                <w:szCs w:val="20"/>
                <w:color w:val="auto"/>
              </w:rPr>
            </w:pPr>
            <w:r>
              <w:rPr>
                <w:rFonts w:ascii="Arial" w:cs="Arial" w:eastAsia="Arial" w:hAnsi="Arial"/>
                <w:sz w:val="16"/>
                <w:szCs w:val="16"/>
                <w:color w:val="auto"/>
              </w:rPr>
              <w:t>2.45 %</w:t>
            </w:r>
          </w:p>
        </w:tc>
        <w:tc>
          <w:tcPr>
            <w:tcW w:w="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1.02 %</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 summary of changes in the fair value of Level 3 liabilities for the three months ended March 31, 2022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Balance as of</w:t>
            </w:r>
          </w:p>
        </w:tc>
        <w:tc>
          <w:tcPr>
            <w:tcW w:w="340" w:type="dxa"/>
            <w:vAlign w:val="bottom"/>
          </w:tcPr>
          <w:p>
            <w:pPr>
              <w:spacing w:after="0"/>
              <w:rPr>
                <w:sz w:val="14"/>
                <w:szCs w:val="14"/>
                <w:color w:val="auto"/>
              </w:rPr>
            </w:pPr>
          </w:p>
        </w:tc>
        <w:tc>
          <w:tcPr>
            <w:tcW w:w="17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Additions</w:t>
            </w:r>
          </w:p>
        </w:tc>
        <w:tc>
          <w:tcPr>
            <w:tcW w:w="17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Conversions</w:t>
            </w:r>
          </w:p>
        </w:tc>
        <w:tc>
          <w:tcPr>
            <w:tcW w:w="1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 in fair value</w:t>
            </w:r>
          </w:p>
        </w:tc>
        <w:tc>
          <w:tcPr>
            <w:tcW w:w="240" w:type="dxa"/>
            <w:vAlign w:val="bottom"/>
          </w:tcPr>
          <w:p>
            <w:pPr>
              <w:spacing w:after="0"/>
              <w:rPr>
                <w:sz w:val="14"/>
                <w:szCs w:val="14"/>
                <w:color w:val="auto"/>
              </w:rPr>
            </w:pPr>
          </w:p>
        </w:tc>
        <w:tc>
          <w:tcPr>
            <w:tcW w:w="1480" w:type="dxa"/>
            <w:vAlign w:val="bottom"/>
          </w:tcPr>
          <w:p>
            <w:pPr>
              <w:jc w:val="center"/>
              <w:ind w:right="205"/>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86"/>
        </w:trPr>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2021</w:t>
            </w:r>
          </w:p>
        </w:tc>
        <w:tc>
          <w:tcPr>
            <w:tcW w:w="340" w:type="dxa"/>
            <w:vAlign w:val="bottom"/>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center"/>
              <w:ind w:right="165"/>
              <w:spacing w:after="0"/>
              <w:rPr>
                <w:sz w:val="20"/>
                <w:szCs w:val="20"/>
                <w:color w:val="auto"/>
              </w:rPr>
            </w:pPr>
            <w:r>
              <w:rPr>
                <w:rFonts w:ascii="Arial" w:cs="Arial" w:eastAsia="Arial" w:hAnsi="Arial"/>
                <w:sz w:val="14"/>
                <w:szCs w:val="14"/>
                <w:b w:val="1"/>
                <w:bCs w:val="1"/>
                <w:color w:val="auto"/>
                <w:w w:val="96"/>
              </w:rPr>
              <w:t>March 31, 2022</w:t>
            </w:r>
          </w:p>
        </w:tc>
        <w:tc>
          <w:tcPr>
            <w:tcW w:w="0" w:type="dxa"/>
            <w:vAlign w:val="bottom"/>
          </w:tcPr>
          <w:p>
            <w:pPr>
              <w:spacing w:after="0"/>
              <w:rPr>
                <w:sz w:val="1"/>
                <w:szCs w:val="1"/>
                <w:color w:val="auto"/>
              </w:rPr>
            </w:pPr>
          </w:p>
        </w:tc>
      </w:tr>
      <w:tr>
        <w:trPr>
          <w:trHeight w:val="196"/>
        </w:trPr>
        <w:tc>
          <w:tcPr>
            <w:tcW w:w="238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make-whole payment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80" w:type="dxa"/>
            <w:vAlign w:val="bottom"/>
            <w:gridSpan w:val="3"/>
            <w:shd w:val="clear" w:color="auto" w:fill="CCEEFF"/>
          </w:tcPr>
          <w:p>
            <w:pPr>
              <w:ind w:left="1160"/>
              <w:spacing w:after="0"/>
              <w:rPr>
                <w:sz w:val="20"/>
                <w:szCs w:val="20"/>
                <w:color w:val="auto"/>
              </w:rPr>
            </w:pPr>
            <w:r>
              <w:rPr>
                <w:rFonts w:ascii="Arial" w:cs="Arial" w:eastAsia="Arial" w:hAnsi="Arial"/>
                <w:sz w:val="16"/>
                <w:szCs w:val="16"/>
                <w:color w:val="auto"/>
              </w:rPr>
              <w:t>—  $</w:t>
            </w:r>
          </w:p>
        </w:tc>
        <w:tc>
          <w:tcPr>
            <w:tcW w:w="1700" w:type="dxa"/>
            <w:vAlign w:val="bottom"/>
            <w:gridSpan w:val="3"/>
            <w:shd w:val="clear" w:color="auto" w:fill="CCEEFF"/>
          </w:tcPr>
          <w:p>
            <w:pPr>
              <w:ind w:left="1200"/>
              <w:spacing w:after="0"/>
              <w:rPr>
                <w:sz w:val="20"/>
                <w:szCs w:val="20"/>
                <w:color w:val="auto"/>
              </w:rPr>
            </w:pPr>
            <w:r>
              <w:rPr>
                <w:rFonts w:ascii="Arial" w:cs="Arial" w:eastAsia="Arial" w:hAnsi="Arial"/>
                <w:sz w:val="16"/>
                <w:szCs w:val="16"/>
                <w:color w:val="auto"/>
              </w:rPr>
              <w:t>—  $</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 xml:space="preserve">The Company evaluated the 2025 Notes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and identified an embedded derivative that required bifurcation. The embedded derivative is an interest make-whole payment. The estimated fair values of the interest make-whole derivative liability at March 31, 2022 and December 31, 2021 were determined using significant assumptions which include an implied credit spread rate for notes with a similar term, the expected volatility and dividend yield of the Company’s common stock and the risk-free interest rate.</w:t>
      </w:r>
    </w:p>
    <w:p>
      <w:pPr>
        <w:spacing w:after="0" w:line="323"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Changes in the fair value of the interest make-whole payment totaling a gain of $0.6 million for the three months ended March 31, 2022 are included in the Company’s condensed consolidated statement of operations within other income (expense), net. As of March 31, 2022, the embedded derivative had a fair value of $0.3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2" w:lineRule="exact"/>
        <w:rPr>
          <w:sz w:val="20"/>
          <w:szCs w:val="20"/>
          <w:color w:val="auto"/>
        </w:rPr>
      </w:pPr>
    </w:p>
    <w:p>
      <w:pPr>
        <w:ind w:right="120" w:firstLine="405"/>
        <w:spacing w:after="0" w:line="243" w:lineRule="auto"/>
        <w:rPr>
          <w:sz w:val="20"/>
          <w:szCs w:val="20"/>
          <w:color w:val="auto"/>
        </w:rPr>
      </w:pPr>
      <w:r>
        <w:rPr>
          <w:rFonts w:ascii="Arial" w:cs="Arial" w:eastAsia="Arial" w:hAnsi="Arial"/>
          <w:sz w:val="18"/>
          <w:szCs w:val="18"/>
          <w:color w:val="auto"/>
        </w:rPr>
        <w:t>The Company’s financial assets and liabilities are carried at fair value or at amounts that, because of their short-term nature, approximate current fair value, with the exception of the 2025 Notes.</w:t>
      </w:r>
    </w:p>
    <w:p>
      <w:pPr>
        <w:spacing w:after="0" w:line="213" w:lineRule="exact"/>
        <w:rPr>
          <w:sz w:val="20"/>
          <w:szCs w:val="20"/>
          <w:color w:val="auto"/>
        </w:rPr>
      </w:pPr>
    </w:p>
    <w:p>
      <w:pPr>
        <w:ind w:right="400"/>
        <w:spacing w:after="0" w:line="243" w:lineRule="auto"/>
        <w:rPr>
          <w:sz w:val="20"/>
          <w:szCs w:val="20"/>
          <w:color w:val="auto"/>
        </w:rPr>
      </w:pPr>
      <w:r>
        <w:rPr>
          <w:rFonts w:ascii="Arial" w:cs="Arial" w:eastAsia="Arial" w:hAnsi="Arial"/>
          <w:sz w:val="18"/>
          <w:szCs w:val="18"/>
          <w:color w:val="auto"/>
        </w:rPr>
        <w:t xml:space="preserve">On May 12, 2020, the Company issued $180.4 million in aggregate principal amount of 2025 Notes, and restructured its outstanding debt as described further in Note 4. </w:t>
      </w:r>
      <w:r>
        <w:rPr>
          <w:rFonts w:ascii="Arial" w:cs="Arial" w:eastAsia="Arial" w:hAnsi="Arial"/>
          <w:sz w:val="18"/>
          <w:szCs w:val="18"/>
          <w:i w:val="1"/>
          <w:iCs w:val="1"/>
          <w:color w:val="auto"/>
        </w:rPr>
        <w:t>Debt.</w:t>
      </w:r>
      <w:r>
        <w:rPr>
          <w:rFonts w:ascii="Arial" w:cs="Arial" w:eastAsia="Arial" w:hAnsi="Arial"/>
          <w:sz w:val="18"/>
          <w:szCs w:val="18"/>
          <w:color w:val="auto"/>
        </w:rPr>
        <w:t xml:space="preserve"> The Company carries its 2025 Notes at amortized cost adjusted for changes in fair value of the embedded derivative. As of March 31, 2022, $161.9 million in principal amount of the 2025 Notes remain outstanding. It is not practicable to determine the fair value of the 2025 Notes due to the lack of information available to calculate the fair value of such notes.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Notes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On May 12, 2020, the Company completed its registered public offering of $100.0 million aggregate principal amount of 2025 Notes and issued</w:t>
      </w:r>
    </w:p>
    <w:p>
      <w:pPr>
        <w:spacing w:after="0" w:line="2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$80.4 million principal amount of 2025 Notes in the privately negotiated exchange agreements that closed concurrently with the registered offering in May 2020.</w:t>
      </w:r>
    </w:p>
    <w:p>
      <w:pPr>
        <w:spacing w:after="0" w:line="21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During the three months ended March 31, 2021, certain holders of the 2025 Notes converted an aggregate of approximately $5.0 million in principal amount of the 2025 Notes into 428,669 shares of the Company’s common stock, including 32,221 shares of common stock issued in satisfaction of the interest make-whole payment. In connection therewith, the Company recorded a loss of $0.4 million on debt conversion, net in the condensed consolidated statement of operations.</w:t>
      </w:r>
    </w:p>
    <w:p>
      <w:pPr>
        <w:spacing w:after="0" w:line="215" w:lineRule="exact"/>
        <w:rPr>
          <w:sz w:val="20"/>
          <w:szCs w:val="20"/>
          <w:color w:val="auto"/>
        </w:rPr>
      </w:pPr>
    </w:p>
    <w:p>
      <w:pPr>
        <w:ind w:right="520"/>
        <w:spacing w:after="0" w:line="248" w:lineRule="auto"/>
        <w:rPr>
          <w:sz w:val="20"/>
          <w:szCs w:val="20"/>
          <w:color w:val="auto"/>
        </w:rPr>
      </w:pPr>
      <w:r>
        <w:rPr>
          <w:rFonts w:ascii="Arial" w:cs="Arial" w:eastAsia="Arial" w:hAnsi="Arial"/>
          <w:sz w:val="18"/>
          <w:szCs w:val="18"/>
          <w:color w:val="auto"/>
        </w:rPr>
        <w:t>The 2025 Notes are issued under an indenture, dated May 12, 2020 (the “Base Indenture”), between the Company and Wilmington Trust, National Association, as trustee (the “Trustee”), as supplemented by the first supplemental indenture, dated May 12, 2020 (the “Supplemental Indenture” and, together with the Base Indenture, the “Indenture”), between the Company and the Trustee.</w:t>
      </w:r>
    </w:p>
    <w:p>
      <w:pPr>
        <w:spacing w:after="0" w:line="20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2025 Notes will mature on May 1, 2025, unless earlier repurchased, redeemed or converted. The 2025 Notes are senior unsecured obligations of the Company and bear interest at an annual rate of 3.25%, payable semi-annually in arrears on May 1 and November 1 of each year, beginning on November 1, 2020.</w:t>
      </w:r>
    </w:p>
    <w:p>
      <w:pPr>
        <w:spacing w:after="0" w:line="209"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Holders of the 2025 Notes may convert the 2025 Notes into shares of the Company’s common stock (together with cash in lieu of any fractional share), at their option, at any time until the close of business on the scheduled trading day immediately before the maturity date. Upon conversion of the 2025 Notes, the Company will deliver for each $1,000 principal amount of 2025 Notes converted a number of shares of common stock (together with cash in lieu of any fractional share), equal to the conversion rate.</w:t>
      </w:r>
    </w:p>
    <w:p>
      <w:pPr>
        <w:spacing w:after="0" w:line="21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initial conversion rate for the 2025 Notes is 79.2896 shares of common stock per $1,000 principal amount of 2025 Notes, which represents an initial conversion price of approximately $12.61 per share, and is subject to adjustment upon the occurrence of certain events, including, but not limited to, certain stock dividends, splits and combinations, the issuance of certain rights, options or warrants to holders of the common stock, certain distributions of assets, debt securities, capital stock or other property to holders of the common stock, cash dividends on the common stock and certain Company tender or exchange offers.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If a fundamental change (as defined in the Indenture) occurs at any time prior to the maturity date, then the noteholders may require the Company to repurchase their 2025 Notes at a cash repurchase price equal to the principal amount of the 2025 Notes to be repurchased, plus accrued and unpaid interest,</w:t>
      </w:r>
    </w:p>
    <w:p>
      <w:pPr>
        <w:ind w:right="500"/>
        <w:spacing w:after="0" w:line="276" w:lineRule="auto"/>
        <w:rPr>
          <w:sz w:val="20"/>
          <w:szCs w:val="20"/>
          <w:color w:val="auto"/>
        </w:rPr>
      </w:pPr>
      <w:r>
        <w:rPr>
          <w:rFonts w:ascii="Arial" w:cs="Arial" w:eastAsia="Arial" w:hAnsi="Arial"/>
          <w:sz w:val="18"/>
          <w:szCs w:val="18"/>
          <w:color w:val="auto"/>
        </w:rPr>
        <w:t>if any, to, but excluding, the fundamental change repurchase date. If a make-whole fundamental change (as defined in the Indenture) occurs, then the Company will in certain circumstances increase the conversion rate for a specified period of time.</w:t>
      </w:r>
    </w:p>
    <w:p>
      <w:pPr>
        <w:spacing w:after="0" w:line="18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2025 Notes will be redeemable, in whole or in part, at the Company’s option at any time, and from time to time, on or after May 6, 2023 and on or before the scheduled trading day before the maturity date, at a cash redemption price equal to the principal amount of the 2025 Notes to be redeemed, plus accrued and unpaid interest, if any, to, but excluding, the redemption date, as long as the last reported sale price per share of the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w:t>
      </w:r>
    </w:p>
    <w:p>
      <w:pPr>
        <w:spacing w:after="0" w:line="216"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The Indenture contains customary events of default. If an event of default (other than certain events of bankruptcy, insolvency or reorganization involving the Company) occurs and is continuing, the Trustee, by notice to the Company, or the holders of the 2025 Notes representing at least 25% in aggregate principal amount of the outstanding 2025 Notes, by notice to the Company and the Trustee, may declare 100% of the principal of, and all accrued and unpaid interest on, all of the then outstanding 2025 Notes to be due and payable immediately. Upon the occurrence of certain events of bankruptcy, insolvency or reorganization involving the Company, 100% of the principal of, and all accrued and unpaid interest on, all of the then outstanding 2025 Notes will automatically become immediately due and payable. Notwithstanding the foregoing, the Indenture provides that, to the extent the Company elects, the sole remedy for an event of default relating to certain failures by the Company to comply with certain reporting covenants in the Indenture will, for the first 360 days after such event of default, consist exclusively of the right to receive additional interest on the 2025 Notes.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make-whole payment</w:t>
      </w:r>
    </w:p>
    <w:p>
      <w:pPr>
        <w:spacing w:after="0" w:line="239"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The 2025 Notes also include an interest make-whole payment feature whereby if the last reported sale price of the Company’s common stock for each of the five trading days immediately preceding a conversion date is greater than or equal to $10.51, the Company will, in addition to the other consideration payable or deliverable in connection with such conversion, make an interest make-whole payment to the converting holder equal to the sum of the present values of the scheduled payments of interest that would have been made on the 2025 Notes to be converted had such notes remained outstanding from the conversion date through the earlier of (i) the date that is three years after the conversion date and (ii) the maturity date. The present values will be computed using a discount rate equal to 1%. The Company will satisfy its obligation to pay the interest make-whole payment, at its election, in cash or shares of</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common stock (together with cash in lieu of fractional shares). The Company has determined that this feature is an embedded derivative and has recognized the fair value of this derivative as a liability in the condensed consolidated balance sheets, with subsequent changes to fair value to be recorded at each reporting period on the condensed consolidated statement of operations in other income, net.</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March 31, 2022, $161.9 million in principal amount of the 2025 Notes were outstanding, $80.4 million of which were held by related parties, and $1.1 million of accrued interest due to related parties was included within accrued expenses and other current liabilities on the condensed consolidated balance sheets. As of December 31, 2021, $161.9 million in principal amount of the 2025 Notes were outstanding, $80.4 million of which were held by related parties, and $0.4 million of accrued interest due to related parties was included within accrued expenses and other current liabilities on the condensed consolidated balance sheets. Assuming no repurchases or conversions of the 2025 Notes prior to May 1, 2025, the entire principal balance of $161.9 million of the 2025 Notes is due on May 1, 2025.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2025 Notes consist of the following (in thousands):</w:t>
      </w:r>
    </w:p>
    <w:tbl>
      <w:tblPr>
        <w:tblLayout w:type="fixed"/>
        <w:tblInd w:w="0" w:type="dxa"/>
        <w:tblCellMar>
          <w:top w:w="0" w:type="dxa"/>
          <w:left w:w="0" w:type="dxa"/>
          <w:bottom w:w="0" w:type="dxa"/>
          <w:right w:w="0" w:type="dxa"/>
        </w:tblCellMar>
      </w:tblPr>
      <w:tr>
        <w:trPr>
          <w:trHeight w:val="158"/>
        </w:trPr>
        <w:tc>
          <w:tcPr>
            <w:tcW w:w="8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20"/>
              <w:spacing w:after="0" w:line="159"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040" w:type="dxa"/>
            <w:vAlign w:val="bottom"/>
          </w:tcPr>
          <w:p>
            <w:pPr>
              <w:jc w:val="right"/>
              <w:ind w:right="82"/>
              <w:spacing w:after="0" w:line="159" w:lineRule="exact"/>
              <w:rPr>
                <w:sz w:val="20"/>
                <w:szCs w:val="20"/>
                <w:color w:val="auto"/>
              </w:rPr>
            </w:pPr>
            <w:r>
              <w:rPr>
                <w:rFonts w:ascii="Arial" w:cs="Arial" w:eastAsia="Arial" w:hAnsi="Arial"/>
                <w:sz w:val="14"/>
                <w:szCs w:val="14"/>
                <w:b w:val="1"/>
                <w:bCs w:val="1"/>
                <w:color w:val="auto"/>
                <w:w w:val="94"/>
              </w:rPr>
              <w:t>December 31,</w:t>
            </w:r>
          </w:p>
        </w:tc>
      </w:tr>
      <w:tr>
        <w:trPr>
          <w:trHeight w:val="188"/>
        </w:trPr>
        <w:tc>
          <w:tcPr>
            <w:tcW w:w="8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r>
      <w:tr>
        <w:trPr>
          <w:trHeight w:val="211"/>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161,898</w:t>
            </w:r>
          </w:p>
        </w:tc>
      </w:tr>
      <w:tr>
        <w:trPr>
          <w:trHeight w:val="213"/>
        </w:trPr>
        <w:tc>
          <w:tcPr>
            <w:tcW w:w="8700" w:type="dxa"/>
            <w:vAlign w:val="bottom"/>
          </w:tcPr>
          <w:p>
            <w:pPr>
              <w:ind w:left="20"/>
              <w:spacing w:after="0"/>
              <w:rPr>
                <w:sz w:val="20"/>
                <w:szCs w:val="20"/>
                <w:color w:val="auto"/>
              </w:rPr>
            </w:pPr>
            <w:r>
              <w:rPr>
                <w:rFonts w:ascii="Arial" w:cs="Arial" w:eastAsia="Arial" w:hAnsi="Arial"/>
                <w:sz w:val="16"/>
                <w:szCs w:val="16"/>
                <w:color w:val="auto"/>
              </w:rPr>
              <w:t>Add: fair value of embedded derivative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926</w:t>
            </w:r>
          </w:p>
        </w:tc>
      </w:tr>
      <w:tr>
        <w:trPr>
          <w:trHeight w:val="21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debt discount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issuance costs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(2,197)</w:t>
            </w:r>
          </w:p>
        </w:tc>
      </w:tr>
      <w:tr>
        <w:trPr>
          <w:trHeight w:val="23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157,629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157,866</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effective interest rate on the liability component of the 2025 Notes was 4.23% and 4.06% for the three months ended March 31, 2022 and 2021, respectively. The following table sets forth total interest expense recognized related to the 2025 Notes (in thousands):</w:t>
      </w:r>
    </w:p>
    <w:p>
      <w:pPr>
        <w:spacing w:after="0" w:line="220"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Three Months Ended</w:t>
      </w:r>
    </w:p>
    <w:p>
      <w:pPr>
        <w:jc w:val="center"/>
        <w:ind w:left="94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4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r>
      <w:tr>
        <w:trPr>
          <w:trHeight w:val="211"/>
        </w:trPr>
        <w:tc>
          <w:tcPr>
            <w:tcW w:w="9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w:t>
            </w:r>
          </w:p>
        </w:tc>
      </w:tr>
      <w:tr>
        <w:trPr>
          <w:trHeight w:val="213"/>
        </w:trPr>
        <w:tc>
          <w:tcPr>
            <w:tcW w:w="946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1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16"/>
        </w:trPr>
        <w:tc>
          <w:tcPr>
            <w:tcW w:w="9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12"/>
        </w:trPr>
        <w:tc>
          <w:tcPr>
            <w:tcW w:w="9460" w:type="dxa"/>
            <w:vAlign w:val="bottom"/>
          </w:tcPr>
          <w:p>
            <w:pPr>
              <w:ind w:left="20"/>
              <w:spacing w:after="0"/>
              <w:rPr>
                <w:sz w:val="20"/>
                <w:szCs w:val="20"/>
                <w:color w:val="auto"/>
              </w:rPr>
            </w:pPr>
            <w:r>
              <w:rPr>
                <w:rFonts w:ascii="Arial" w:cs="Arial" w:eastAsia="Arial" w:hAnsi="Arial"/>
                <w:sz w:val="16"/>
                <w:szCs w:val="16"/>
                <w:color w:val="auto"/>
              </w:rPr>
              <w:t>Total interest expense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1,687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w:t>
            </w:r>
          </w:p>
        </w:tc>
      </w:tr>
      <w:tr>
        <w:trPr>
          <w:trHeight w:val="21"/>
        </w:trPr>
        <w:tc>
          <w:tcPr>
            <w:tcW w:w="9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Compensation</w:t>
      </w:r>
    </w:p>
    <w:p>
      <w:pPr>
        <w:spacing w:after="0" w:line="256"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During the three months ended March 31, 2022, the Company granted awards under the 2018 Omnibus Incentive Compensation Plan, previously named the Amended and Restated 2009 Omnibus Incentive Compensation Plan (the “2018 Plan”), and the 2015 Incentive Compensation Plan (the “2015 Plan”). The Compensation Committee of the Board of Directors administers the plans. Under the 2018 Plan, a maximum of 8,897,084 shares of common stock may be issued upon the exercise of stock options, in the form of restricted stock, or in settlement of restricted stock units (“RSUs”) or other awards, including awards with alternative vesting schedules such as performance-based criteria.</w:t>
      </w:r>
    </w:p>
    <w:p>
      <w:pPr>
        <w:spacing w:after="0" w:line="2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three months ended March 31, 2022 and 2021 the following table presents total share-based compensation expense in each functional line item on the unaudited condensed consolidated statements of operations (in thousands):</w:t>
      </w:r>
    </w:p>
    <w:p>
      <w:pPr>
        <w:spacing w:after="0" w:line="57"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Three Months Ended</w:t>
      </w:r>
    </w:p>
    <w:p>
      <w:pPr>
        <w:jc w:val="center"/>
        <w:ind w:left="88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13335</wp:posOffset>
            </wp:positionV>
            <wp:extent cx="15087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r>
      <w:tr>
        <w:trPr>
          <w:trHeight w:val="216"/>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w:t>
            </w: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3,228</w:t>
            </w:r>
          </w:p>
        </w:tc>
      </w:tr>
      <w:tr>
        <w:trPr>
          <w:trHeight w:val="219"/>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w:t>
            </w:r>
          </w:p>
        </w:tc>
      </w:tr>
      <w:tr>
        <w:trPr>
          <w:trHeight w:val="213"/>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2,304</w:t>
            </w:r>
          </w:p>
        </w:tc>
      </w:tr>
      <w:tr>
        <w:trPr>
          <w:trHeight w:val="234"/>
        </w:trPr>
        <w:tc>
          <w:tcPr>
            <w:tcW w:w="8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9,098</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quarter ended March 31, 2022, the Board of Directors of the Company approved and the Company granted restricted stock units to eligible employees under the 2018 Plan that were immediately vested, as fiscal 2021 annual bonus payments. The total charges recorded during the quarter ended March 31, 2022 were $8.8 million. Such bonus payments in fiscal 2021 were paid and recorded in the quarter ended March 31, 2021 and total charges related to such bonus payments were $7.0 million.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Compensation Committee of the Board of Directors determines eligibility, vesting schedules and exercise prices for stock options granted. The Company generally uses the Black-Scholes option pricing model to estimate the fair value of its stock options. For performance stock awards subject to market-based vesting conditions, fair values are determined using the Monte-Carlo simulation model. Stock options generally have a term of ten years and vest over a three- to four-year period.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for the three months ended March 31,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December 31,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8,085,793</w:t>
            </w:r>
          </w:p>
        </w:tc>
      </w:tr>
      <w:tr>
        <w:trPr>
          <w:trHeight w:val="213"/>
        </w:trPr>
        <w:tc>
          <w:tcPr>
            <w:tcW w:w="10100" w:type="dxa"/>
            <w:vAlign w:val="bottom"/>
          </w:tcPr>
          <w:p>
            <w:pPr>
              <w:ind w:left="22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spacing w:after="0"/>
              <w:rPr>
                <w:sz w:val="20"/>
                <w:szCs w:val="20"/>
                <w:color w:val="auto"/>
              </w:rPr>
            </w:pPr>
            <w:r>
              <w:rPr>
                <w:rFonts w:ascii="Arial" w:cs="Arial" w:eastAsia="Arial" w:hAnsi="Arial"/>
                <w:sz w:val="16"/>
                <w:szCs w:val="16"/>
                <w:color w:val="auto"/>
              </w:rPr>
              <w:t>1,302,500</w:t>
            </w:r>
          </w:p>
        </w:tc>
      </w:tr>
      <w:tr>
        <w:trPr>
          <w:trHeight w:val="219"/>
        </w:trPr>
        <w:tc>
          <w:tcPr>
            <w:tcW w:w="10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(130,790)</w:t>
            </w:r>
          </w:p>
        </w:tc>
      </w:tr>
      <w:tr>
        <w:trPr>
          <w:trHeight w:val="213"/>
        </w:trPr>
        <w:tc>
          <w:tcPr>
            <w:tcW w:w="10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(583,612)</w:t>
            </w:r>
          </w:p>
        </w:tc>
      </w:tr>
      <w:tr>
        <w:trPr>
          <w:trHeight w:val="211"/>
        </w:trPr>
        <w:tc>
          <w:tcPr>
            <w:tcW w:w="10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March 31, 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8,673,891</w:t>
            </w:r>
          </w:p>
        </w:tc>
      </w:tr>
      <w:tr>
        <w:trPr>
          <w:trHeight w:val="20"/>
        </w:trPr>
        <w:tc>
          <w:tcPr>
            <w:tcW w:w="10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10100" w:type="dxa"/>
            <w:vAlign w:val="bottom"/>
          </w:tcPr>
          <w:p>
            <w:pPr>
              <w:ind w:left="20"/>
              <w:spacing w:after="0"/>
              <w:rPr>
                <w:sz w:val="20"/>
                <w:szCs w:val="20"/>
                <w:color w:val="auto"/>
              </w:rPr>
            </w:pPr>
            <w:r>
              <w:rPr>
                <w:rFonts w:ascii="Arial" w:cs="Arial" w:eastAsia="Arial" w:hAnsi="Arial"/>
                <w:sz w:val="16"/>
                <w:szCs w:val="16"/>
                <w:color w:val="auto"/>
              </w:rPr>
              <w:t>Exercisable — March 31, 2022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4,931,898</w:t>
            </w:r>
          </w:p>
        </w:tc>
      </w:tr>
      <w:tr>
        <w:trPr>
          <w:trHeight w:val="20"/>
        </w:trPr>
        <w:tc>
          <w:tcPr>
            <w:tcW w:w="10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At March 31, 2022, total unrecognized compensation expense related to stock options was $11.1 million, which is expected to be recognized over a weighted-average period of 2.97 years.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5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Pursuant to the 2018 Plan and the 2015 Plan, the Company may issue RSUs that, upon satisfaction of vesting conditions, allow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RSU activity: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 December 31,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1,247,723</w:t>
            </w:r>
          </w:p>
        </w:tc>
      </w:tr>
      <w:tr>
        <w:trPr>
          <w:trHeight w:val="213"/>
        </w:trPr>
        <w:tc>
          <w:tcPr>
            <w:tcW w:w="10100" w:type="dxa"/>
            <w:vAlign w:val="bottom"/>
          </w:tcPr>
          <w:p>
            <w:pPr>
              <w:ind w:left="22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spacing w:after="0"/>
              <w:rPr>
                <w:sz w:val="20"/>
                <w:szCs w:val="20"/>
                <w:color w:val="auto"/>
              </w:rPr>
            </w:pPr>
            <w:r>
              <w:rPr>
                <w:rFonts w:ascii="Arial" w:cs="Arial" w:eastAsia="Arial" w:hAnsi="Arial"/>
                <w:sz w:val="16"/>
                <w:szCs w:val="16"/>
                <w:color w:val="auto"/>
              </w:rPr>
              <w:t>2,139,100</w:t>
            </w:r>
          </w:p>
        </w:tc>
      </w:tr>
      <w:tr>
        <w:trPr>
          <w:trHeight w:val="219"/>
        </w:trPr>
        <w:tc>
          <w:tcPr>
            <w:tcW w:w="10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(1,892,613)</w:t>
            </w:r>
          </w:p>
        </w:tc>
      </w:tr>
      <w:tr>
        <w:trPr>
          <w:trHeight w:val="213"/>
        </w:trPr>
        <w:tc>
          <w:tcPr>
            <w:tcW w:w="10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(50,700)</w:t>
            </w:r>
          </w:p>
        </w:tc>
      </w:tr>
      <w:tr>
        <w:trPr>
          <w:trHeight w:val="238"/>
        </w:trPr>
        <w:tc>
          <w:tcPr>
            <w:tcW w:w="10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 March 31, 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1,443,510</w:t>
            </w:r>
          </w:p>
        </w:tc>
      </w:tr>
      <w:tr>
        <w:trPr>
          <w:trHeight w:val="20"/>
        </w:trPr>
        <w:tc>
          <w:tcPr>
            <w:tcW w:w="10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At March 31, 2022, total unrecognized compensation expense related to RSUs was $5.9 million, which is expected to be recognized over a weighted-average period of 3.34 years.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Basic earnings per share (“EPS”) excludes dilution and is computed by dividing net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2025 Notes calculated using the if-converted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and diluted earnings per share was as follows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87"/>
        </w:trPr>
        <w:tc>
          <w:tcPr>
            <w:tcW w:w="8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r>
      <w:tr>
        <w:trPr>
          <w:trHeight w:val="211"/>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(18,040)</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20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105,649,419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101,370,433</w:t>
            </w:r>
          </w:p>
        </w:tc>
      </w:tr>
      <w:tr>
        <w:trPr>
          <w:trHeight w:val="244"/>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and diluted net loss per share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the three months ended March 31, 2022, the computation of diluted EPS excluded 27,109,523 shares, primarily related to the 2025 Notes, warrants, stock options, RSUs and employee stock purchase plan for which the effect would have been anti-dilutive.</w:t>
      </w:r>
    </w:p>
    <w:p>
      <w:pPr>
        <w:spacing w:after="0" w:line="11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following is a summary of outstanding anti-dilutive potential common stock that was excluded from diluted net loss per share attributable to stockholders in the following periods: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Pr>
          <w:p>
            <w:pPr>
              <w:spacing w:after="0"/>
              <w:rPr>
                <w:sz w:val="16"/>
                <w:szCs w:val="16"/>
                <w:color w:val="auto"/>
              </w:rPr>
            </w:pPr>
          </w:p>
        </w:tc>
        <w:tc>
          <w:tcPr>
            <w:tcW w:w="25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 March 31,</w:t>
            </w:r>
          </w:p>
        </w:tc>
      </w:tr>
      <w:tr>
        <w:trPr>
          <w:trHeight w:val="199"/>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w:t>
            </w:r>
          </w:p>
        </w:tc>
        <w:tc>
          <w:tcPr>
            <w:tcW w:w="12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r>
      <w:tr>
        <w:trPr>
          <w:trHeight w:val="213"/>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14,341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14,341</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Warrants</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Non-qualified stock options</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8,675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7,627</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1,443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2"/>
        </w:trPr>
        <w:tc>
          <w:tcPr>
            <w:tcW w:w="8720" w:type="dxa"/>
            <w:vAlign w:val="bottom"/>
          </w:tcPr>
          <w:p>
            <w:pPr>
              <w:ind w:left="220"/>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27,110</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24,881</w:t>
            </w:r>
          </w:p>
        </w:tc>
      </w:tr>
      <w:tr>
        <w:trPr>
          <w:trHeight w:val="21"/>
        </w:trPr>
        <w:tc>
          <w:tcPr>
            <w:tcW w:w="87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Private Placements and Public Offering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58"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On March 28, 2019, the Company issued warrants to purchase 2,500,000 shares of common stock (the “2019 Warrants”) to certain accredited investors. Each 2019 Warrant has an initial exercise price of $7.00 per share, subject to adjustment for stock splits, reverse stock splits, stock dividends and similar transactions, became exercisable on September 28, 2019, and will expire on June 30, 2022. The Company assessed the terms of the warrants under ASC 815. Pursuant to this guidance, the Company has determined that the warrants do not require liability accounting and has classified the warrants as equity.</w:t>
      </w:r>
    </w:p>
    <w:p>
      <w:pPr>
        <w:spacing w:after="0" w:line="122" w:lineRule="exact"/>
        <w:rPr>
          <w:sz w:val="20"/>
          <w:szCs w:val="20"/>
          <w:color w:val="auto"/>
        </w:rPr>
      </w:pPr>
    </w:p>
    <w:p>
      <w:pPr>
        <w:ind w:right="40" w:firstLine="405"/>
        <w:spacing w:after="0" w:line="219" w:lineRule="auto"/>
        <w:rPr>
          <w:sz w:val="20"/>
          <w:szCs w:val="20"/>
          <w:color w:val="auto"/>
        </w:rPr>
      </w:pPr>
      <w:r>
        <w:rPr>
          <w:rFonts w:ascii="Arial" w:cs="Arial" w:eastAsia="Arial" w:hAnsi="Arial"/>
          <w:sz w:val="18"/>
          <w:szCs w:val="18"/>
          <w:color w:val="auto"/>
        </w:rPr>
        <w:t>On January 25, 2021, the Company entered into an Equity Distribution Agreement with the Agent, pursuant to which the Company may offer and sell, from time to time, through or to the Agent, up to $40.0 million of shares of its common stock. In January 2021, the Company sold 1,516,073 shares of common stock, at an average price of $20.11 per share, for net proceeds of $29.4 million, after deducting underwriter fees and discounts, and other offering fees, pursuant to the ATM Offering.</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Geographic Information and Concentrations of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Company’s net revenues by geographic region based on shipping destination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87"/>
        </w:trPr>
        <w:tc>
          <w:tcPr>
            <w:tcW w:w="88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r>
      <w:tr>
        <w:trPr>
          <w:trHeight w:val="211"/>
        </w:trPr>
        <w:tc>
          <w:tcPr>
            <w:tcW w:w="8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and Canada</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52,642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42,736</w:t>
            </w:r>
          </w:p>
        </w:tc>
      </w:tr>
      <w:tr>
        <w:trPr>
          <w:trHeight w:val="213"/>
        </w:trPr>
        <w:tc>
          <w:tcPr>
            <w:tcW w:w="8880" w:type="dxa"/>
            <w:vAlign w:val="bottom"/>
          </w:tcPr>
          <w:p>
            <w:pPr>
              <w:ind w:left="20"/>
              <w:spacing w:after="0"/>
              <w:rPr>
                <w:sz w:val="20"/>
                <w:szCs w:val="20"/>
                <w:color w:val="auto"/>
              </w:rPr>
            </w:pPr>
            <w:r>
              <w:rPr>
                <w:rFonts w:ascii="Arial" w:cs="Arial" w:eastAsia="Arial" w:hAnsi="Arial"/>
                <w:sz w:val="16"/>
                <w:szCs w:val="16"/>
                <w:color w:val="auto"/>
              </w:rPr>
              <w:t>Europe</w:t>
            </w:r>
          </w:p>
        </w:tc>
        <w:tc>
          <w:tcPr>
            <w:tcW w:w="14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5,620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5,833</w:t>
            </w:r>
          </w:p>
        </w:tc>
      </w:tr>
      <w:tr>
        <w:trPr>
          <w:trHeight w:val="219"/>
        </w:trPr>
        <w:tc>
          <w:tcPr>
            <w:tcW w:w="8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 Africa</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7,108</w:t>
            </w:r>
          </w:p>
        </w:tc>
      </w:tr>
      <w:tr>
        <w:trPr>
          <w:trHeight w:val="213"/>
        </w:trPr>
        <w:tc>
          <w:tcPr>
            <w:tcW w:w="8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3,122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1,920</w:t>
            </w:r>
          </w:p>
        </w:tc>
      </w:tr>
      <w:tr>
        <w:trPr>
          <w:trHeight w:val="238"/>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61,384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57,597</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Risk</w:t>
      </w:r>
    </w:p>
    <w:p>
      <w:pPr>
        <w:spacing w:after="0" w:line="10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For the three months ended March 31, 2022, two customers accounted for 37.3% and 39.9% of net revenues, respectively. For the three months ended March 31, 2021, two customers accounted for 45.0% and 15.8% of net revenues.</w:t>
      </w:r>
    </w:p>
    <w:p>
      <w:pPr>
        <w:spacing w:after="0" w:line="6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As of March 31, 2022 two customers accounted for 33.0% and 26.2% of accounts receivable, net, respectively. As of December 31, 2021, two customers accounted for 61.7% and 12.6% of accounts receivable, net,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Noncancellable Purchase Obligations</w:t>
      </w:r>
    </w:p>
    <w:p>
      <w:pPr>
        <w:spacing w:after="0" w:line="158"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The Company typically enters into commitments with its contract manufacturers that require future purchase of goods or services in the three to four quarters following the balance sheet date. Such commitments are noncancellable (“noncancellable purchase obligations”). As of March 31, 2022, future payments under these noncancellable purchase obligations were approximately $169.1 million.</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w:t>
      </w:r>
    </w:p>
    <w:p>
      <w:pPr>
        <w:spacing w:after="0" w:line="158" w:lineRule="exact"/>
        <w:rPr>
          <w:sz w:val="20"/>
          <w:szCs w:val="20"/>
          <w:color w:val="auto"/>
        </w:rPr>
      </w:pPr>
    </w:p>
    <w:p>
      <w:pPr>
        <w:jc w:val="both"/>
        <w:ind w:right="80"/>
        <w:spacing w:after="0" w:line="279"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For example, the Company is currently named as a defendant or co-defendant in several patent infringement lawsuits in the U.S. and may be required to indirectly participate in other U.S. patent infringement actions pursuant to its contractual indemnification obligations to certain customers. Based on an evaluation of these matters and discussions with the Company’s intellectual property litigation counsel, the Company currently believes that liabilities arising from or sums paid in settlement of these existing matters, if any, would not have a material adverse effect on its condensed consolidated results of operations or financial condition.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5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condensed consolidated results of operations or financial condition.</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158"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 xml:space="preserve">The Company is a lessee in lease agreements for office space, automobiles and certain equipment. Certain of the Company’s leases contain provisions that provide for one or more options to renew at the Company’s sole discretion. The majority of the Company’s leases are comprised of fixed lease payments, with a small percentage of its real estate leases including lease payments subject to a rate or index, which may be variable. Certain real estate leases also include executory costs such as common area maintenance (non-lease component). As a practical expedient permitted under the new guidance, ASC 842 </w:t>
      </w:r>
      <w:r>
        <w:rPr>
          <w:rFonts w:ascii="Arial" w:cs="Arial" w:eastAsia="Arial" w:hAnsi="Arial"/>
          <w:sz w:val="16"/>
          <w:szCs w:val="16"/>
          <w:i w:val="1"/>
          <w:iCs w:val="1"/>
          <w:color w:val="auto"/>
        </w:rPr>
        <w:t xml:space="preserve">Leases, </w:t>
      </w:r>
      <w:r>
        <w:rPr>
          <w:rFonts w:ascii="Arial" w:cs="Arial" w:eastAsia="Arial" w:hAnsi="Arial"/>
          <w:sz w:val="16"/>
          <w:szCs w:val="16"/>
          <w:color w:val="auto"/>
        </w:rPr>
        <w:t>(“ASC 842”), the Company has elected to account for the lease and non-lease components as a single lease component. Lease payments, which</w:t>
      </w:r>
      <w:r>
        <w:rPr>
          <w:rFonts w:ascii="Arial" w:cs="Arial" w:eastAsia="Arial" w:hAnsi="Arial"/>
          <w:sz w:val="16"/>
          <w:szCs w:val="16"/>
          <w:i w:val="1"/>
          <w:iCs w:val="1"/>
          <w:color w:val="auto"/>
        </w:rPr>
        <w:t xml:space="preserve"> </w:t>
      </w:r>
      <w:r>
        <w:rPr>
          <w:rFonts w:ascii="Arial" w:cs="Arial" w:eastAsia="Arial" w:hAnsi="Arial"/>
          <w:sz w:val="16"/>
          <w:szCs w:val="16"/>
          <w:color w:val="auto"/>
        </w:rPr>
        <w:t>may include lease components and non-lease components, are included in the measurement of the Company’s lease liabilities to the extent that such payments are either fixed amounts or variable amounts based on a rate or index (fixed in substance) as stipulated in the lease contract.</w:t>
      </w:r>
    </w:p>
    <w:p>
      <w:pPr>
        <w:spacing w:after="0" w:line="10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None of the Company’s lease agreements contain any material residual value guarantees or material restrictive covenants. As a result of the Company’s election of the package of practical expedients permitted within ASC 842, which among other things, allows for the carryforward of historical lease classification, all of the Company’s lease agreements in existence at the date of adoption that were classified as operating leases under the legacy guidance, ASC 840, have been classified as operating leases under ASC 842. Lease expense for payments related to the Company’s operating leases is recognized on a straight-line basis over the related lease term, which includes options to extend or terminate the lease when it is reasonably certain that the Company will exercise that option.</w:t>
      </w:r>
    </w:p>
    <w:p>
      <w:pPr>
        <w:spacing w:after="0" w:line="135"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Right-of-use assets represent the Company’s right to use an underlying asset during the lease term and lease liabilities represent the Company’s obligation to make lease payments as specified in the lease. Right-of-use assets and lease liabilities related to the Company’s operating leases are recognized at the lease commencement date based on the present value of the remaining lease payments over the lease term. When the Company’s leases do not provide an implicit rate, the Company uses its incremental borrowing rate based on the information available surrounding the Company’s borrowing rates at the lease commencement date in determining the present value of lease payments. The right-of-use asset also includes any lease payments made at or before lease commencement less any lease incentives.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right-of-use assets and lease liabilities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4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Balance Sheet Classification</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20" w:type="dxa"/>
            <w:vAlign w:val="bottom"/>
          </w:tcPr>
          <w:p>
            <w:pPr>
              <w:jc w:val="right"/>
              <w:ind w:right="14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8"/>
        </w:trPr>
        <w:tc>
          <w:tcPr>
            <w:tcW w:w="4000" w:type="dxa"/>
            <w:vAlign w:val="bottom"/>
            <w:tcBorders>
              <w:bottom w:val="single" w:sz="8" w:color="CCEEFF"/>
            </w:tcBorders>
          </w:tcPr>
          <w:p>
            <w:pPr>
              <w:spacing w:after="0"/>
              <w:rPr>
                <w:sz w:val="16"/>
                <w:szCs w:val="16"/>
                <w:color w:val="auto"/>
              </w:rPr>
            </w:pPr>
          </w:p>
        </w:tc>
        <w:tc>
          <w:tcPr>
            <w:tcW w:w="4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Right-of-use assets, net</w:t>
            </w:r>
          </w:p>
        </w:tc>
        <w:tc>
          <w:tcPr>
            <w:tcW w:w="4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Right-of-use assets,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7,699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7,839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operating lease liabilities</w:t>
            </w:r>
          </w:p>
        </w:tc>
        <w:tc>
          <w:tcPr>
            <w:tcW w:w="45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Accrued expenses and other current liabilities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1,759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1,769</w:t>
            </w:r>
          </w:p>
        </w:tc>
        <w:tc>
          <w:tcPr>
            <w:tcW w:w="0" w:type="dxa"/>
            <w:vAlign w:val="bottom"/>
          </w:tcPr>
          <w:p>
            <w:pPr>
              <w:spacing w:after="0"/>
              <w:rPr>
                <w:sz w:val="1"/>
                <w:szCs w:val="1"/>
                <w:color w:val="auto"/>
              </w:rPr>
            </w:pPr>
          </w:p>
        </w:tc>
      </w:tr>
      <w:tr>
        <w:trPr>
          <w:trHeight w:val="21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 operating lease liabilities</w:t>
            </w:r>
          </w:p>
        </w:tc>
        <w:tc>
          <w:tcPr>
            <w:tcW w:w="45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4"/>
              </w:rPr>
              <w:t>Other long-term liabilities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6,956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7,112</w:t>
            </w:r>
          </w:p>
        </w:tc>
        <w:tc>
          <w:tcPr>
            <w:tcW w:w="0" w:type="dxa"/>
            <w:vAlign w:val="bottom"/>
          </w:tcPr>
          <w:p>
            <w:pPr>
              <w:spacing w:after="0"/>
              <w:rPr>
                <w:sz w:val="1"/>
                <w:szCs w:val="1"/>
                <w:color w:val="auto"/>
              </w:rPr>
            </w:pPr>
          </w:p>
        </w:tc>
      </w:tr>
      <w:tr>
        <w:trPr>
          <w:trHeight w:val="23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lease liabilities</w:t>
            </w:r>
          </w:p>
        </w:tc>
        <w:tc>
          <w:tcPr>
            <w:tcW w:w="4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8,715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8,881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39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4.8</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3980" w:type="dxa"/>
            <w:vAlign w:val="bottom"/>
          </w:tcPr>
          <w:p>
            <w:pPr>
              <w:jc w:val="right"/>
              <w:ind w:right="419"/>
              <w:spacing w:after="0"/>
              <w:rPr>
                <w:sz w:val="20"/>
                <w:szCs w:val="20"/>
                <w:color w:val="auto"/>
              </w:rPr>
            </w:pPr>
            <w:r>
              <w:rPr>
                <w:rFonts w:ascii="Arial" w:cs="Arial" w:eastAsia="Arial" w:hAnsi="Arial"/>
                <w:sz w:val="16"/>
                <w:szCs w:val="16"/>
                <w:color w:val="auto"/>
              </w:rPr>
              <w:t>9.1 %</w:t>
            </w:r>
          </w:p>
        </w:tc>
        <w:tc>
          <w:tcPr>
            <w:tcW w:w="900" w:type="dxa"/>
            <w:vAlign w:val="bottom"/>
          </w:tcPr>
          <w:p>
            <w:pPr>
              <w:jc w:val="right"/>
              <w:spacing w:after="0"/>
              <w:rPr>
                <w:sz w:val="20"/>
                <w:szCs w:val="20"/>
                <w:color w:val="auto"/>
              </w:rPr>
            </w:pPr>
            <w:r>
              <w:rPr>
                <w:rFonts w:ascii="Arial" w:cs="Arial" w:eastAsia="Arial" w:hAnsi="Arial"/>
                <w:sz w:val="16"/>
                <w:szCs w:val="16"/>
                <w:color w:val="auto"/>
              </w:rPr>
              <w:t>9.1 %</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were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64"/>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8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2021</w:t>
            </w:r>
          </w:p>
        </w:tc>
      </w:tr>
      <w:tr>
        <w:trPr>
          <w:trHeight w:val="196"/>
        </w:trPr>
        <w:tc>
          <w:tcPr>
            <w:tcW w:w="8400" w:type="dxa"/>
            <w:vAlign w:val="bottom"/>
          </w:tcPr>
          <w:p>
            <w:pPr>
              <w:ind w:left="20"/>
              <w:spacing w:after="0"/>
              <w:rPr>
                <w:sz w:val="20"/>
                <w:szCs w:val="20"/>
                <w:color w:val="auto"/>
              </w:rPr>
            </w:pPr>
            <w:r>
              <w:rPr>
                <w:rFonts w:ascii="Arial" w:cs="Arial" w:eastAsia="Arial" w:hAnsi="Arial"/>
                <w:sz w:val="16"/>
                <w:szCs w:val="16"/>
                <w:color w:val="auto"/>
              </w:rPr>
              <w:t>Operating lease costs included in operating costs and expenses: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27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87"/>
        </w:trPr>
        <w:tc>
          <w:tcPr>
            <w:tcW w:w="85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r>
      <w:tr>
        <w:trPr>
          <w:trHeight w:val="197"/>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operating lease liabilities:</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520" w:type="dxa"/>
            <w:vAlign w:val="bottom"/>
          </w:tcPr>
          <w:p>
            <w:pPr>
              <w:ind w:left="20"/>
              <w:spacing w:after="0"/>
              <w:rPr>
                <w:sz w:val="20"/>
                <w:szCs w:val="20"/>
                <w:color w:val="auto"/>
              </w:rPr>
            </w:pPr>
            <w:r>
              <w:rPr>
                <w:rFonts w:ascii="Arial" w:cs="Arial" w:eastAsia="Arial" w:hAnsi="Arial"/>
                <w:sz w:val="16"/>
                <w:szCs w:val="16"/>
                <w:color w:val="auto"/>
              </w:rPr>
              <w:t>Operating cash flows related to operating leases</w:t>
            </w:r>
          </w:p>
        </w:tc>
        <w:tc>
          <w:tcPr>
            <w:tcW w:w="880" w:type="dxa"/>
            <w:vAlign w:val="bottom"/>
          </w:tcPr>
          <w:p>
            <w:pPr>
              <w:jc w:val="right"/>
              <w:ind w:right="704"/>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622</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535</w:t>
            </w:r>
          </w:p>
        </w:tc>
      </w:tr>
      <w:tr>
        <w:trPr>
          <w:trHeight w:val="273"/>
        </w:trPr>
        <w:tc>
          <w:tcPr>
            <w:tcW w:w="85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13"/>
        </w:trPr>
        <w:tc>
          <w:tcPr>
            <w:tcW w:w="852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lease liabilities:</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473"/>
        </w:trPr>
        <w:tc>
          <w:tcPr>
            <w:tcW w:w="8520" w:type="dxa"/>
            <w:vAlign w:val="bottom"/>
          </w:tcPr>
          <w:p>
            <w:pPr>
              <w:ind w:left="420"/>
              <w:spacing w:after="0"/>
              <w:rPr>
                <w:sz w:val="20"/>
                <w:szCs w:val="20"/>
                <w:color w:val="auto"/>
              </w:rPr>
            </w:pPr>
            <w:r>
              <w:rPr>
                <w:rFonts w:ascii="Arial" w:cs="Arial" w:eastAsia="Arial" w:hAnsi="Arial"/>
                <w:sz w:val="18"/>
                <w:szCs w:val="18"/>
                <w:color w:val="auto"/>
                <w:w w:val="94"/>
              </w:rPr>
              <w:t>The future minimum payments under operating leases were as follows as of March 31, 2022 (in thousands):</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8"/>
        </w:trPr>
        <w:tc>
          <w:tcPr>
            <w:tcW w:w="8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16"/>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 (remainder)</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w:t>
            </w:r>
          </w:p>
        </w:tc>
      </w:tr>
      <w:tr>
        <w:trPr>
          <w:trHeight w:val="213"/>
        </w:trPr>
        <w:tc>
          <w:tcPr>
            <w:tcW w:w="8520" w:type="dxa"/>
            <w:vAlign w:val="bottom"/>
          </w:tcPr>
          <w:p>
            <w:pPr>
              <w:ind w:left="20"/>
              <w:spacing w:after="0"/>
              <w:rPr>
                <w:sz w:val="20"/>
                <w:szCs w:val="20"/>
                <w:color w:val="auto"/>
              </w:rPr>
            </w:pPr>
            <w:r>
              <w:rPr>
                <w:rFonts w:ascii="Arial" w:cs="Arial" w:eastAsia="Arial" w:hAnsi="Arial"/>
                <w:sz w:val="16"/>
                <w:szCs w:val="16"/>
                <w:color w:val="auto"/>
              </w:rPr>
              <w:t>2023</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2,187</w:t>
            </w:r>
          </w:p>
        </w:tc>
      </w:tr>
      <w:tr>
        <w:trPr>
          <w:trHeight w:val="219"/>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w:t>
            </w:r>
          </w:p>
        </w:tc>
      </w:tr>
      <w:tr>
        <w:trPr>
          <w:trHeight w:val="213"/>
        </w:trPr>
        <w:tc>
          <w:tcPr>
            <w:tcW w:w="8520" w:type="dxa"/>
            <w:vAlign w:val="bottom"/>
          </w:tcPr>
          <w:p>
            <w:pPr>
              <w:ind w:left="20"/>
              <w:spacing w:after="0"/>
              <w:rPr>
                <w:sz w:val="20"/>
                <w:szCs w:val="20"/>
                <w:color w:val="auto"/>
              </w:rPr>
            </w:pPr>
            <w:r>
              <w:rPr>
                <w:rFonts w:ascii="Arial" w:cs="Arial" w:eastAsia="Arial" w:hAnsi="Arial"/>
                <w:sz w:val="16"/>
                <w:szCs w:val="16"/>
                <w:color w:val="auto"/>
              </w:rPr>
              <w:t>2025</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1,736</w:t>
            </w:r>
          </w:p>
        </w:tc>
      </w:tr>
      <w:tr>
        <w:trPr>
          <w:trHeight w:val="219"/>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w:t>
            </w:r>
          </w:p>
        </w:tc>
      </w:tr>
      <w:tr>
        <w:trPr>
          <w:trHeight w:val="213"/>
        </w:trPr>
        <w:tc>
          <w:tcPr>
            <w:tcW w:w="8520" w:type="dxa"/>
            <w:vAlign w:val="bottom"/>
          </w:tcPr>
          <w:p>
            <w:pPr>
              <w:ind w:left="20"/>
              <w:spacing w:after="0"/>
              <w:rPr>
                <w:sz w:val="20"/>
                <w:szCs w:val="20"/>
                <w:color w:val="auto"/>
              </w:rPr>
            </w:pPr>
            <w:r>
              <w:rPr>
                <w:rFonts w:ascii="Arial" w:cs="Arial" w:eastAsia="Arial" w:hAnsi="Arial"/>
                <w:sz w:val="16"/>
                <w:szCs w:val="16"/>
                <w:color w:val="auto"/>
              </w:rPr>
              <w:t>2027</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1,152</w:t>
            </w:r>
          </w:p>
        </w:tc>
      </w:tr>
      <w:tr>
        <w:trPr>
          <w:trHeight w:val="233"/>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8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7"/>
        </w:trPr>
        <w:tc>
          <w:tcPr>
            <w:tcW w:w="8520" w:type="dxa"/>
            <w:vAlign w:val="bottom"/>
          </w:tcPr>
          <w:p>
            <w:pPr>
              <w:ind w:left="220"/>
              <w:spacing w:after="0"/>
              <w:rPr>
                <w:sz w:val="20"/>
                <w:szCs w:val="20"/>
                <w:color w:val="auto"/>
              </w:rPr>
            </w:pPr>
            <w:r>
              <w:rPr>
                <w:rFonts w:ascii="Arial" w:cs="Arial" w:eastAsia="Arial" w:hAnsi="Arial"/>
                <w:sz w:val="16"/>
                <w:szCs w:val="16"/>
                <w:color w:val="auto"/>
              </w:rPr>
              <w:t>Total minimum operating lease payments</w:t>
            </w: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10,739</w:t>
            </w:r>
          </w:p>
        </w:tc>
      </w:tr>
      <w:tr>
        <w:trPr>
          <w:trHeight w:val="219"/>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amounts representing interest</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(2,024)</w:t>
            </w:r>
          </w:p>
        </w:tc>
      </w:tr>
      <w:tr>
        <w:trPr>
          <w:trHeight w:val="206"/>
        </w:trPr>
        <w:tc>
          <w:tcPr>
            <w:tcW w:w="8520" w:type="dxa"/>
            <w:vAlign w:val="bottom"/>
          </w:tcPr>
          <w:p>
            <w:pPr>
              <w:ind w:left="220"/>
              <w:spacing w:after="0"/>
              <w:rPr>
                <w:sz w:val="20"/>
                <w:szCs w:val="20"/>
                <w:color w:val="auto"/>
              </w:rPr>
            </w:pPr>
            <w:r>
              <w:rPr>
                <w:rFonts w:ascii="Arial" w:cs="Arial" w:eastAsia="Arial" w:hAnsi="Arial"/>
                <w:sz w:val="16"/>
                <w:szCs w:val="16"/>
                <w:color w:val="auto"/>
              </w:rPr>
              <w:t>Present value of net minimum operating lease payments</w:t>
            </w: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8,715</w:t>
            </w:r>
          </w:p>
        </w:tc>
      </w:tr>
      <w:tr>
        <w:trPr>
          <w:trHeight w:val="219"/>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portion</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(1,759)</w:t>
            </w:r>
          </w:p>
        </w:tc>
      </w:tr>
      <w:tr>
        <w:trPr>
          <w:trHeight w:val="207"/>
        </w:trPr>
        <w:tc>
          <w:tcPr>
            <w:tcW w:w="8520" w:type="dxa"/>
            <w:vAlign w:val="bottom"/>
          </w:tcPr>
          <w:p>
            <w:pPr>
              <w:ind w:left="220"/>
              <w:spacing w:after="0"/>
              <w:rPr>
                <w:sz w:val="20"/>
                <w:szCs w:val="20"/>
                <w:color w:val="auto"/>
              </w:rPr>
            </w:pPr>
            <w:r>
              <w:rPr>
                <w:rFonts w:ascii="Arial" w:cs="Arial" w:eastAsia="Arial" w:hAnsi="Arial"/>
                <w:sz w:val="16"/>
                <w:szCs w:val="16"/>
                <w:color w:val="auto"/>
              </w:rPr>
              <w:t>Long-term portion of operating lease obligations</w:t>
            </w: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6,956</w:t>
            </w:r>
          </w:p>
        </w:tc>
      </w:tr>
      <w:tr>
        <w:trPr>
          <w:trHeight w:val="23"/>
        </w:trPr>
        <w:tc>
          <w:tcPr>
            <w:tcW w:w="8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104"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color w:val="auto"/>
        </w:rPr>
        <w:t>Monitoring device leases in which the Company serves as lessor are classified as operating leases. Accordingly, rental devices are carried at historical cost less accumulated depreciation and impairment, if any, and are included in rental assets, net, on the condensed consolidated balance sheets.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 xml:space="preserve">Since the lease components meet the criteria for an operating lease under ASC 842, the Company has elected the practical expedient to combine the lease and the non-lease components because the service is the predominant element in the eyes of the customer and the pattern of service delivery is the same for both elements. The Company accounts for the combined component as a single performance obligation under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08" w:lineRule="exact"/>
        <w:rPr>
          <w:sz w:val="20"/>
          <w:szCs w:val="20"/>
          <w:color w:val="auto"/>
        </w:rPr>
      </w:pPr>
    </w:p>
    <w:p>
      <w:pPr>
        <w:ind w:right="120" w:firstLine="405"/>
        <w:spacing w:after="0" w:line="242" w:lineRule="auto"/>
        <w:rPr>
          <w:sz w:val="20"/>
          <w:szCs w:val="20"/>
          <w:color w:val="auto"/>
        </w:rPr>
      </w:pPr>
      <w:r>
        <w:rPr>
          <w:rFonts w:ascii="Arial" w:cs="Arial" w:eastAsia="Arial" w:hAnsi="Arial"/>
          <w:sz w:val="17"/>
          <w:szCs w:val="17"/>
          <w:color w:val="auto"/>
        </w:rPr>
        <w:t>The Company’s income tax (benefit) provision of $(0.3) million and $0.2 million for the three months ended March 31, 2022 and 2021, respectively, consisted primarily of foreign income taxes at certain of the Company’s international entities and minimum state taxes for its U.S.-based entities. The Company’s income tax expense is different than the expected expense based on statutory rates primarily due to full valuation allowances at all of its U.S.-based entities and several of its foreign subsidiaries. The tax benefit for the first quarter of 2022 and the tax expense for the first quarter of 2021 were largely driven by foreign currency losses, and gains, respectively, at the Company’s foreign subsidiaries.</w:t>
      </w:r>
    </w:p>
    <w:p>
      <w:pPr>
        <w:spacing w:after="0" w:line="202" w:lineRule="exact"/>
        <w:rPr>
          <w:sz w:val="20"/>
          <w:szCs w:val="20"/>
          <w:color w:val="auto"/>
        </w:rPr>
      </w:pPr>
    </w:p>
    <w:p>
      <w:pPr>
        <w:jc w:val="both"/>
        <w:ind w:right="240" w:firstLine="405"/>
        <w:spacing w:after="0" w:line="235" w:lineRule="auto"/>
        <w:rPr>
          <w:sz w:val="20"/>
          <w:szCs w:val="20"/>
          <w:color w:val="auto"/>
        </w:rPr>
      </w:pPr>
      <w:r>
        <w:rPr>
          <w:rFonts w:ascii="Arial" w:cs="Arial" w:eastAsia="Arial" w:hAnsi="Arial"/>
          <w:sz w:val="18"/>
          <w:szCs w:val="18"/>
          <w:color w:val="auto"/>
        </w:rPr>
        <w:t>On March 11, 2021, Congress passed, and the President signed into law, the American Rescue Plan Act, 2021 (the “ARP”), which includes certain business tax provisions. The Company does not expect the ARP to have a material impact on the Company’s effective tax rate or income tax expense for the year ending December 31, 2022.</w:t>
      </w:r>
    </w:p>
    <w:p>
      <w:pPr>
        <w:spacing w:after="0" w:line="215" w:lineRule="exact"/>
        <w:rPr>
          <w:sz w:val="20"/>
          <w:szCs w:val="20"/>
          <w:color w:val="auto"/>
        </w:rPr>
      </w:pPr>
    </w:p>
    <w:p>
      <w:pPr>
        <w:ind w:firstLine="405"/>
        <w:spacing w:after="0" w:line="241" w:lineRule="auto"/>
        <w:rPr>
          <w:sz w:val="20"/>
          <w:szCs w:val="20"/>
          <w:color w:val="auto"/>
        </w:rPr>
      </w:pPr>
      <w:r>
        <w:rPr>
          <w:rFonts w:ascii="Arial" w:cs="Arial" w:eastAsia="Arial" w:hAnsi="Arial"/>
          <w:sz w:val="18"/>
          <w:szCs w:val="18"/>
          <w:color w:val="auto"/>
        </w:rPr>
        <w:t>On October 28, 2021, the House Rules Committee, under the Biden Administration released new proposed tax legislation under the “Build Back Better Act” (“BBBA”) which contains potential reversals and revisions of key provisions of the 2017 Tax Cuts and Jobs Act. The BBBA, which was passed by the U.S. House of Representatives in November 2021, is proposed legislation that has not yet been enacted into law. Additionally, in late March 2022, the Biden administration proposed a 28% corporate income tax rate. The Company does not believe this will have a material impact on its effective tax rate, though it continues to monitor the Biden Administration’s proposals.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6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(the “Securities Act”) and Section 21E of the Securities Exchange Act of 1934, as amended (the “Exchange Act”). You should not place undue reliance on these statements. These forward-looking statements include statements that reflect the views of our senior management with respect to our current expectations, assumptions, estimates and projections about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115" w:lineRule="exact"/>
        <w:rPr>
          <w:sz w:val="20"/>
          <w:szCs w:val="20"/>
          <w:color w:val="auto"/>
        </w:rPr>
      </w:pPr>
    </w:p>
    <w:p>
      <w:pPr>
        <w:ind w:left="660" w:right="1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wireless modem products, and asset management, monitoring, telematics, vehicle tracking and fleet management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 services successfully;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price and performance standards of the evolving 5G New Radio (“5G NR”) products and technologies;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customer reach/reduce customer concentration;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the Internet of Things (“IoT”) and mobile portfolio outside of North America;</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our Ctrack/asset tracking solutions within North America;</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scheduled payments on, or to refinance our indebtedness, including our convertible notes obligations;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103"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 manufacturer’s ability to secure necessary supply to build our devices;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costs, disruption of supply or the shortage of semiconductors or other key components of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mitigate the impact of tariffs or other government-imposed sanctions;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products and devices used in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such as inflation, on the demand for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geopolitical instability on our business;</w:t>
      </w:r>
    </w:p>
    <w:p>
      <w:pPr>
        <w:spacing w:after="0" w:line="103"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emergence of global public health emergencies, such as the recent outbreak of the 2019 novel coronavirus (2019-nCoV), known as “COVID-19”, which could extend lead times in our supply chain and lengthen sales cycles with our customers;</w:t>
      </w:r>
    </w:p>
    <w:p>
      <w:pPr>
        <w:spacing w:after="0" w:line="62"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direct and indirect effects of COVID-19, including government efforts to reduce the spread of the disease, on our employees, customers and supply chain and the economy and financial markets;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meet the product performance needs of our customers in wireless broadband data access in industrial IoT (“IIoT”) markets;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4" w:right="439" w:bottom="1440" w:gutter="0" w:footer="0" w:header="0"/>
        </w:sectPr>
      </w:pPr>
    </w:p>
    <w:bookmarkStart w:id="21" w:name="page22"/>
    <w:bookmarkEnd w:id="21"/>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demand for fleet, vehicle and asset management software-as-a-service (“SaaS”) telematics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any pending or future litigation, including intellectual property litigation;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conducting business abroad, including international conflicts such as the Russia-Ukraine crisis, and foreign currency risks;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pace of 5G wireless network rollouts globally and their adoption by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2021 (“Form 10-K”). If one or more events related to these or other risks or uncertainties materialize, or if our underlying assumptions prove to be incorrect, actual results may differ materially from what we anticipate. As used in this report on Form 10-Q, unless the context otherwise requires, the terms “we,” “us,” “our,” the “Company” and “Inseego” refer to Inseego Corp., a Delaware corporation, and its wholly-owned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62" w:lineRule="exact"/>
        <w:rPr>
          <w:sz w:val="20"/>
          <w:szCs w:val="20"/>
          <w:color w:val="auto"/>
        </w:rPr>
      </w:pPr>
    </w:p>
    <w:p>
      <w:pPr>
        <w:jc w:val="both"/>
        <w:ind w:right="320"/>
        <w:spacing w:after="0" w:line="248" w:lineRule="auto"/>
        <w:rPr>
          <w:sz w:val="20"/>
          <w:szCs w:val="20"/>
          <w:color w:val="auto"/>
        </w:rPr>
      </w:pPr>
      <w:r>
        <w:rPr>
          <w:rFonts w:ascii="Arial" w:cs="Arial" w:eastAsia="Arial" w:hAnsi="Arial"/>
          <w:sz w:val="18"/>
          <w:szCs w:val="18"/>
          <w:color w:val="auto"/>
        </w:rPr>
        <w:t>“Inseego”, “Inseego Subscribe”, “Inseego Manage”, “Inseego Secure”, “Inseego Vision”, the Inseego logo, “MiFi”, “MiFi Intelligent Mobile Hotspot”, “Wavemaker”, “Clarity”, and “Skyus” are trademarks or registered trademarks of Inseego and its subsidiaries. Other trademarks, trade names or service marks used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ind w:right="60"/>
        <w:spacing w:after="0" w:line="270" w:lineRule="auto"/>
        <w:rPr>
          <w:sz w:val="20"/>
          <w:szCs w:val="20"/>
          <w:color w:val="auto"/>
        </w:rPr>
      </w:pPr>
      <w:r>
        <w:rPr>
          <w:rFonts w:ascii="Arial" w:cs="Arial" w:eastAsia="Arial" w:hAnsi="Arial"/>
          <w:sz w:val="17"/>
          <w:szCs w:val="17"/>
          <w:color w:val="auto"/>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2021, contained in our Form 10-K.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00" w:lineRule="exact"/>
        <w:rPr>
          <w:sz w:val="20"/>
          <w:szCs w:val="20"/>
          <w:color w:val="auto"/>
        </w:rPr>
      </w:pPr>
    </w:p>
    <w:p>
      <w:pPr>
        <w:spacing w:after="0" w:line="2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Inseego Corp. is a leader in the design and development of fixed and mobile wireless solutions (advanced 4G and 5G NR), IIoT and cloud solutions for Fortune 500 enterprises, service providers, small and medium-sized businesses, governments, and consumers around the globe. Our product portfolio consists of fixed and mobile device-to-cloud solutions that provide compelling, intelligent, reliable and secure end-to-end IoT services with deep business intelligence. Inseego’s products and solutions, designed and developed in the U.S., power mission critical applications with a “zero unscheduled downtime” mandate, such as our 5G fixed wireless access (“FWA”) gateway solutions, 4G and 5G mobile broadband, IIoT applications such as SD WAN failover management, asset tracking and fleet management services. Our solutions are powered by our key wireless innovations in mobile and FWA technologies, including a suite of products employing the 5G NR standards, and purpose-built SaaS cloud platforms.</w:t>
      </w:r>
    </w:p>
    <w:p>
      <w:pPr>
        <w:spacing w:after="0" w:line="20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have been at the forefront of the ways in which the world stays connected and accesses information, protects, and derives intelligence from that information. With multiple first-to-market innovations across a number of wireless technologies, including 5G, and a strong and growing portfolio of hardware and software innovations for IIoT solutions, Inseego has been advancing technology and driving industry transformations for over 30 years. It is this proven expertise, commitment to quality, obsession with innovation and a relentless focus on execution that makes us a preferred global partner of service providers, distributors, value-added resellers, system integrators, and enterprises worldwide.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16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provide intelligent wireless 4G and 5G hardware products for the worldwide mobile communications and IIoT markets. Our hardware products address multiple vertical markets including private LTE/5G networks, the First Responders Network Authority/Firstnet, SD-WAN, telematics, remote monitoring and surveillance, and fixed wireless access and mobile broadband devices. Our broad range of products principally includes intelligent 4G and 5G fixed wireless routers and gateways, mobile hotspots, wireless gateways and routers for IIoT applications, Gb speed 4G LTE hotspots and USB modems, integrated telematics and mobile tracking hardware devices, which are supported by applications software and cloud services designed to enable customers to easily analyze data insights and configure/manage their hardware remotely. Our products currently operate on most major global cellular wireless networks. Our mobile hotspots sold under the MiFi brand have been sold to millions of end users, and provide subscribers with secure and convenient high-speed access to corporate, public and personal information through the Internet and enterprise networks. Our wireless standalone and USB modems and gateways allow us to address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spacing w:after="0" w:line="7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Our MiFi customer base is comprised of wireless operators to whom we provide intelligent fixed and mobile wireless devices. These wireless operators include Verizon Wireless, T-Mobile and U.S. Cellular in the United States, Rogers and Telus in Canada, Telstra in Australia, Swisscom in Switzerland, as well as other international wireless operators, distributors and various companies in other vertical markets and geographies.</w:t>
      </w:r>
    </w:p>
    <w:p>
      <w:pPr>
        <w:spacing w:after="0" w:line="19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sell our wireless routers for IIoT, integrated telematics and mobile tracking hardware devices through our direct sales force, value-added resellers and through distributors. The customer base for our IIoT products is comprised of transportation companies, industrial enterprises, manufacturers, application service providers, system integrators and distributors in various industries, including fleet and vehicle transportation, aviation ground service management, energy and industrial automation, security and safety, medical monitoring and government. Integrated telematics and asset tracking devices are also sold under our Ctrack brand and provided as part of our integrated SaaS solutions.</w:t>
      </w:r>
    </w:p>
    <w:p>
      <w:pPr>
        <w:spacing w:after="0" w:line="20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sell SaaS, software and services solutions across multiple mobile and IIoT vertical markets, including fleet management, vehicle telematics, stolen vehicle recovery, asset tracking, monitoring, business connectivity and subscription management. Our SaaS delivery platforms include our telematics and asset tracking and management platforms, which provide fleet, vehicle, aviation, asset and other telematics applications. Our SaaS platforms are device-agnostic and provide a standardized, scalable way to order, connect and manage remote assets and to improve business operations. The platforms are flexible and support both on-premise server or cloud-based deployments and are the basis for the delivery of a wide range of IoT services in multiple industries.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jc w:val="both"/>
        <w:ind w:right="160"/>
        <w:spacing w:after="0" w:line="342" w:lineRule="auto"/>
        <w:rPr>
          <w:sz w:val="20"/>
          <w:szCs w:val="20"/>
          <w:color w:val="auto"/>
        </w:rPr>
      </w:pPr>
      <w:r>
        <w:rPr>
          <w:rFonts w:ascii="Arial" w:cs="Arial" w:eastAsia="Arial" w:hAnsi="Arial"/>
          <w:sz w:val="16"/>
          <w:szCs w:val="16"/>
          <w:color w:val="auto"/>
        </w:rPr>
        <w:t>We classify our revenues from the sale of our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70"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Our SaaS delivery platforms include our Ctrack platforms, which provide fleet, vehicle, aviation, asset and other telematics applications. Since the sale of our Ctrack South Africa operations was completed on July 30, 2021, certain portions of our SaaS revenue will no longer be generated, but Inseego will continue to provide telematics solutions in the rest of the world, including in North America, Europe and Australia.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We believe that our future net revenues may be influenced by a number of factors including:</w:t>
      </w:r>
    </w:p>
    <w:p>
      <w:pPr>
        <w:spacing w:after="0" w:line="5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49" w:lineRule="exact"/>
        <w:rPr>
          <w:rFonts w:ascii="Arial" w:cs="Arial" w:eastAsia="Arial" w:hAnsi="Arial"/>
          <w:sz w:val="18"/>
          <w:szCs w:val="18"/>
          <w:color w:val="auto"/>
        </w:rPr>
      </w:pPr>
    </w:p>
    <w:p>
      <w:pPr>
        <w:ind w:left="980" w:right="280" w:hanging="324"/>
        <w:spacing w:after="0" w:line="261"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competition from other fleet and vehicle telematics solutions, as well as suppliers of emerging devices that contain wireless data access or device management features;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acceptance of our products by new vertical markets;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growth in the aviation ground vertical;</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deployment of 5G infrastructure equipment;</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adoption of 5G end point products;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the area of 5G technology;</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contract manufacturer’s ability to secure necessary supply to of semiconductors and other key components to build our devices;</w:t>
      </w:r>
    </w:p>
    <w:p>
      <w:pPr>
        <w:spacing w:after="0" w:line="61"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pricing;</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hardware products.</w:t>
      </w:r>
    </w:p>
    <w:p>
      <w:pPr>
        <w:spacing w:after="0" w:line="158" w:lineRule="exact"/>
        <w:rPr>
          <w:sz w:val="20"/>
          <w:szCs w:val="20"/>
          <w:color w:val="auto"/>
        </w:rPr>
      </w:pPr>
    </w:p>
    <w:p>
      <w:pPr>
        <w:ind w:firstLine="405"/>
        <w:spacing w:after="0" w:line="241" w:lineRule="auto"/>
        <w:rPr>
          <w:sz w:val="20"/>
          <w:szCs w:val="20"/>
          <w:color w:val="auto"/>
        </w:rPr>
      </w:pPr>
      <w:r>
        <w:rPr>
          <w:rFonts w:ascii="Arial" w:cs="Arial" w:eastAsia="Arial" w:hAnsi="Arial"/>
          <w:sz w:val="18"/>
          <w:szCs w:val="18"/>
          <w:color w:val="auto"/>
        </w:rPr>
        <w:t>We anticipate introducing additional products during the next twelve months, including SaaS and additional service offerings, industrial IoT hardware and services, and other mobile and fixed wireless devices targeting the emerging 5G market. We continue to develop and maintain strategic relationships with service providers and other wireless industry leaders such as Verizon Wireless, T-Mobile, and Qualcomm. Through strategic relationships, we have been able to maintain market penetration by leveraging the resources of our channel partners, including their access to distribution resources, increased sales opportunities and market opportunities.</w:t>
      </w:r>
    </w:p>
    <w:p>
      <w:pPr>
        <w:spacing w:after="0" w:line="122" w:lineRule="exact"/>
        <w:rPr>
          <w:sz w:val="20"/>
          <w:szCs w:val="20"/>
          <w:color w:val="auto"/>
        </w:rPr>
      </w:pPr>
    </w:p>
    <w:p>
      <w:pPr>
        <w:jc w:val="both"/>
        <w:ind w:right="100" w:firstLine="405"/>
        <w:spacing w:after="0" w:line="259" w:lineRule="auto"/>
        <w:rPr>
          <w:sz w:val="20"/>
          <w:szCs w:val="20"/>
          <w:color w:val="auto"/>
        </w:rPr>
      </w:pPr>
      <w:r>
        <w:rPr>
          <w:rFonts w:ascii="Arial" w:cs="Arial" w:eastAsia="Arial" w:hAnsi="Arial"/>
          <w:sz w:val="16"/>
          <w:szCs w:val="16"/>
          <w:color w:val="auto"/>
        </w:rPr>
        <w:t>In December 2019, COVID-19 was reported to have surfaced in Wuhan, China, resulting in shutdowns of manufacturing and commerce globally in the months that followed. Since then, the COVID-19 pandemic has spread worldwide, and has resulted in authorities implementing numerous measures to try to contain the disease or slow its spread, such as travel bans and restrictions, quarantines, shelter-in-place orders and shutdowns.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demand environment for our 5G products during the three months ended March 31, 2022 was consistent with our expectations. Recently, our IoT</w:t>
      </w:r>
    </w:p>
    <w:p>
      <w:pPr>
        <w:spacing w:after="0" w:line="8" w:lineRule="exact"/>
        <w:rPr>
          <w:sz w:val="20"/>
          <w:szCs w:val="20"/>
          <w:color w:val="auto"/>
        </w:rPr>
      </w:pPr>
    </w:p>
    <w:p>
      <w:pPr>
        <w:jc w:val="both"/>
        <w:ind w:right="60" w:firstLine="8"/>
        <w:spacing w:after="0" w:line="231" w:lineRule="auto"/>
        <w:tabs>
          <w:tab w:leader="none" w:pos="185" w:val="left"/>
        </w:tabs>
        <w:numPr>
          <w:ilvl w:val="0"/>
          <w:numId w:val="6"/>
        </w:numPr>
        <w:rPr>
          <w:rFonts w:ascii="Arial" w:cs="Arial" w:eastAsia="Arial" w:hAnsi="Arial"/>
          <w:sz w:val="17"/>
          <w:szCs w:val="17"/>
          <w:color w:val="auto"/>
        </w:rPr>
      </w:pPr>
      <w:r>
        <w:rPr>
          <w:rFonts w:ascii="Arial" w:cs="Arial" w:eastAsia="Arial" w:hAnsi="Arial"/>
          <w:sz w:val="17"/>
          <w:szCs w:val="17"/>
          <w:color w:val="auto"/>
        </w:rPr>
        <w:t>Mobile Solutions have experienced lower sales of LTE gigabit hotspots as COVID-19 pandemic demand have eased. The macroeconomic environment remains uncertain and the demand for our products in the prior year may not be sustainable for the long term. We will continue to monitor the implications of the COVID-19 pandemic on our business, as well as our customers’ and suppliers’ businesses.</w:t>
      </w:r>
    </w:p>
    <w:p>
      <w:pPr>
        <w:spacing w:after="0" w:line="122" w:lineRule="exact"/>
        <w:rPr>
          <w:sz w:val="20"/>
          <w:szCs w:val="20"/>
          <w:color w:val="auto"/>
        </w:rPr>
      </w:pPr>
    </w:p>
    <w:p>
      <w:pPr>
        <w:ind w:firstLine="405"/>
        <w:spacing w:after="0" w:line="241" w:lineRule="auto"/>
        <w:rPr>
          <w:sz w:val="20"/>
          <w:szCs w:val="20"/>
          <w:color w:val="auto"/>
        </w:rPr>
      </w:pPr>
      <w:r>
        <w:rPr>
          <w:rFonts w:ascii="Arial" w:cs="Arial" w:eastAsia="Arial" w:hAnsi="Arial"/>
          <w:sz w:val="18"/>
          <w:szCs w:val="18"/>
          <w:i w:val="1"/>
          <w:iCs w:val="1"/>
          <w:color w:val="auto"/>
        </w:rPr>
        <w:t xml:space="preserve">Cost of Net Revenues. </w:t>
      </w:r>
      <w:r>
        <w:rPr>
          <w:rFonts w:ascii="Arial" w:cs="Arial" w:eastAsia="Arial" w:hAnsi="Arial"/>
          <w:sz w:val="18"/>
          <w:szCs w:val="18"/>
          <w:color w:val="auto"/>
        </w:rPr>
        <w:t>Cost of net revenues includes all costs associated with our contract manufacturers, distribution, fulfillment and repair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SaaS services, warranty costs, amortization of intangible assets, royalties, operations overhead, costs associated with cancellation of purchase orders and costs related to outside services. Also included in cost of net revenues are costs related to inventory adjustments, as well as any write downs for excess and obsolete inventory and abandoned product lines. Inventory adjustments are impacted primarily by demand for our products, which is influenced by the factors discussed above.</w:t>
      </w:r>
    </w:p>
    <w:p>
      <w:pPr>
        <w:spacing w:after="0" w:line="135"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operating costs consist of three primary categories: research and development; sales and marketing, and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and administrative costs.</w:t>
      </w:r>
    </w:p>
    <w:p>
      <w:pPr>
        <w:spacing w:after="0" w:line="117" w:lineRule="exact"/>
        <w:rPr>
          <w:sz w:val="20"/>
          <w:szCs w:val="20"/>
          <w:color w:val="auto"/>
        </w:rPr>
      </w:pPr>
    </w:p>
    <w:p>
      <w:pPr>
        <w:ind w:right="200" w:firstLine="405"/>
        <w:spacing w:after="0" w:line="291" w:lineRule="auto"/>
        <w:rPr>
          <w:sz w:val="20"/>
          <w:szCs w:val="20"/>
          <w:color w:val="auto"/>
        </w:rPr>
      </w:pPr>
      <w:r>
        <w:rPr>
          <w:rFonts w:ascii="Arial" w:cs="Arial" w:eastAsia="Arial" w:hAnsi="Arial"/>
          <w:sz w:val="17"/>
          <w:szCs w:val="17"/>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4" w:name="page25"/>
    <w:bookmarkEnd w:id="24"/>
    <w:p>
      <w:pPr>
        <w:ind w:firstLine="405"/>
        <w:spacing w:after="0" w:line="294" w:lineRule="auto"/>
        <w:rPr>
          <w:sz w:val="20"/>
          <w:szCs w:val="20"/>
          <w:color w:val="auto"/>
        </w:rPr>
      </w:pPr>
      <w:r>
        <w:rPr>
          <w:rFonts w:ascii="Arial" w:cs="Arial" w:eastAsia="Arial" w:hAnsi="Arial"/>
          <w:sz w:val="16"/>
          <w:szCs w:val="16"/>
          <w:color w:val="auto"/>
        </w:rPr>
        <w:t>Sales and marketing expenses consist primarily of our sales force and product-marketing professionals. In order to maintain strong sales relationships, we provide co-marketing, trade show support and product training. We are also engaged in a wide variety of marketing activities, such as awareness and lead generation programs as well as product marketing. Other marketing initiatives include public relations, seminars and co-branding with partners.</w:t>
      </w:r>
    </w:p>
    <w:p>
      <w:pPr>
        <w:spacing w:after="0" w:line="93" w:lineRule="exact"/>
        <w:rPr>
          <w:sz w:val="20"/>
          <w:szCs w:val="20"/>
          <w:color w:val="auto"/>
        </w:rPr>
      </w:pPr>
    </w:p>
    <w:p>
      <w:pPr>
        <w:ind w:right="40" w:firstLine="405"/>
        <w:spacing w:after="0" w:line="241"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 which may, in turn, impact net revenue levels.</w:t>
      </w:r>
    </w:p>
    <w:p>
      <w:pPr>
        <w:spacing w:after="0" w:line="135" w:lineRule="exact"/>
        <w:rPr>
          <w:sz w:val="20"/>
          <w:szCs w:val="20"/>
          <w:color w:val="auto"/>
        </w:rPr>
      </w:pPr>
    </w:p>
    <w:p>
      <w:pPr>
        <w:ind w:right="40" w:firstLine="405"/>
        <w:spacing w:after="0" w:line="284" w:lineRule="auto"/>
        <w:rPr>
          <w:sz w:val="20"/>
          <w:szCs w:val="20"/>
          <w:color w:val="auto"/>
        </w:rPr>
      </w:pPr>
      <w:r>
        <w:rPr>
          <w:rFonts w:ascii="Arial" w:cs="Arial" w:eastAsia="Arial" w:hAnsi="Arial"/>
          <w:sz w:val="16"/>
          <w:szCs w:val="16"/>
          <w:color w:val="auto"/>
        </w:rPr>
        <w:t>As part of our business strategy, we may review acquisition or divestiture opportunities that we believe would be advantageous or complementary to the development of our business. Given our current cash position and recent losses, any additional acquisitions we make would likely involve issuing stock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40" w:firstLine="405"/>
        <w:spacing w:after="0" w:line="241" w:lineRule="auto"/>
        <w:rPr>
          <w:sz w:val="20"/>
          <w:szCs w:val="20"/>
          <w:color w:val="auto"/>
        </w:rPr>
      </w:pPr>
      <w:r>
        <w:rPr>
          <w:rFonts w:ascii="Arial" w:cs="Arial" w:eastAsia="Arial" w:hAnsi="Arial"/>
          <w:sz w:val="18"/>
          <w:szCs w:val="18"/>
          <w:color w:val="auto"/>
        </w:rPr>
        <w:t>In the notes to our consolidated financial statements and in “Item 7. Management’s Discussion and Analysis of Financial Condition and Results of Operations” included in our Form 10-K, we have disclosed those accounting policies that we consider to be significant in determining our results of operations and financial condition. There have been no material changes to those policies that we consider to be significant since the filing of our Form 10-K. The accounting principles used in preparing our unaudited condensed consolidated financial statements conform in all material respects to accounting principles generally accepted in the U.S.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2022 Compared to Three Months Ended March 31, 2021</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for the three months ended March 31, 2022 were $61.4 million, compared to $57.6 million for the same period in 2021.</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net revenues by our two product categories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1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3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54,505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11,546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26.9 %</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Enterprise SaaS Solutions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35"/>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61,384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57,597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3,787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20" w:firstLine="405"/>
        <w:spacing w:after="0" w:line="243"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increase in IoT &amp; Mobile Solutions net revenues is primarily due to increases in our enterprise and carrier offerings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IoT &amp; Mobile Solutions, specifically increased sales of our second-generation 5G hotspot related to our MiFi business of $16.0 million and increased revenues in our Inseego Subscribe business due to subscriber growth of $0.7 million, partially offset by $4.6 million decrease in revenues from our 4G products and others.</w:t>
      </w:r>
    </w:p>
    <w:p>
      <w:pPr>
        <w:spacing w:after="0" w:line="215" w:lineRule="exact"/>
        <w:rPr>
          <w:sz w:val="20"/>
          <w:szCs w:val="20"/>
          <w:color w:val="auto"/>
        </w:rPr>
      </w:pPr>
    </w:p>
    <w:p>
      <w:pPr>
        <w:ind w:left="220" w:right="60" w:firstLine="405"/>
        <w:spacing w:after="0" w:line="294" w:lineRule="auto"/>
        <w:rPr>
          <w:sz w:val="20"/>
          <w:szCs w:val="20"/>
          <w:color w:val="auto"/>
        </w:rPr>
      </w:pPr>
      <w:r>
        <w:rPr>
          <w:rFonts w:ascii="Arial" w:cs="Arial" w:eastAsia="Arial" w:hAnsi="Arial"/>
          <w:sz w:val="16"/>
          <w:szCs w:val="16"/>
          <w:i w:val="1"/>
          <w:iCs w:val="1"/>
          <w:color w:val="auto"/>
        </w:rPr>
        <w:t xml:space="preserve">Enterprise SaaS Solutions. </w:t>
      </w:r>
      <w:r>
        <w:rPr>
          <w:rFonts w:ascii="Arial" w:cs="Arial" w:eastAsia="Arial" w:hAnsi="Arial"/>
          <w:sz w:val="16"/>
          <w:szCs w:val="16"/>
          <w:color w:val="auto"/>
        </w:rPr>
        <w:t>Enterprise SaaS Solutions net revenues decreased year-over-year as a result of the divestiture of Ctrack South Africa as</w:t>
      </w:r>
      <w:r>
        <w:rPr>
          <w:rFonts w:ascii="Arial" w:cs="Arial" w:eastAsia="Arial" w:hAnsi="Arial"/>
          <w:sz w:val="16"/>
          <w:szCs w:val="16"/>
          <w:i w:val="1"/>
          <w:iCs w:val="1"/>
          <w:color w:val="auto"/>
        </w:rPr>
        <w:t xml:space="preserve"> </w:t>
      </w:r>
      <w:r>
        <w:rPr>
          <w:rFonts w:ascii="Arial" w:cs="Arial" w:eastAsia="Arial" w:hAnsi="Arial"/>
          <w:sz w:val="16"/>
          <w:szCs w:val="16"/>
          <w:color w:val="auto"/>
        </w:rPr>
        <w:t>of July 30, 2021. Enterprise SaaS Solutions revenues from the rest of the world stayed relatively flat. SaaS revenue was no longer generated in South Africa beginning in August 2021. We continue to provide telematics solutions in the rest of the world, including in Europe and Australia.</w:t>
      </w:r>
    </w:p>
    <w:p>
      <w:pPr>
        <w:spacing w:after="0" w:line="93" w:lineRule="exact"/>
        <w:rPr>
          <w:sz w:val="20"/>
          <w:szCs w:val="20"/>
          <w:color w:val="auto"/>
        </w:rPr>
      </w:pPr>
    </w:p>
    <w:p>
      <w:pPr>
        <w:ind w:right="360" w:firstLine="405"/>
        <w:spacing w:after="0" w:line="261"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three months ended March 31, 2022 was $46.1 million, or 75.2% of net revenues,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$39.1 million, or 67.9% of net revenues, for the same period in 2021.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table summarizes cost of net revenues by our two product categories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37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2"/>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42,903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33,442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center"/>
              <w:ind w:left="103"/>
              <w:spacing w:after="0"/>
              <w:rPr>
                <w:sz w:val="20"/>
                <w:szCs w:val="20"/>
                <w:color w:val="auto"/>
              </w:rPr>
            </w:pPr>
            <w:r>
              <w:rPr>
                <w:rFonts w:ascii="Arial" w:cs="Arial" w:eastAsia="Arial" w:hAnsi="Arial"/>
                <w:sz w:val="16"/>
                <w:szCs w:val="16"/>
                <w:color w:val="auto"/>
                <w:w w:val="89"/>
              </w:rPr>
              <w:t>9,461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28.3 %</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Enterprise SaaS Solutions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3,233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5,682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left="83"/>
              <w:spacing w:after="0"/>
              <w:rPr>
                <w:sz w:val="20"/>
                <w:szCs w:val="20"/>
                <w:color w:val="auto"/>
              </w:rPr>
            </w:pPr>
            <w:r>
              <w:rPr>
                <w:rFonts w:ascii="Arial" w:cs="Arial" w:eastAsia="Arial" w:hAnsi="Arial"/>
                <w:sz w:val="16"/>
                <w:szCs w:val="16"/>
                <w:color w:val="auto"/>
                <w:w w:val="90"/>
              </w:rPr>
              <w:t>(2,449)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35"/>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46,136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39,124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center"/>
              <w:ind w:left="103"/>
              <w:spacing w:after="0"/>
              <w:rPr>
                <w:sz w:val="20"/>
                <w:szCs w:val="20"/>
                <w:color w:val="auto"/>
              </w:rPr>
            </w:pPr>
            <w:r>
              <w:rPr>
                <w:rFonts w:ascii="Arial" w:cs="Arial" w:eastAsia="Arial" w:hAnsi="Arial"/>
                <w:sz w:val="16"/>
                <w:szCs w:val="16"/>
                <w:color w:val="auto"/>
                <w:w w:val="89"/>
              </w:rPr>
              <w:t>7,012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17.9 %</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05"/>
        <w:spacing w:after="0" w:line="248"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increase in IoT &amp; Mobile Solutions cost of net revenues is primarily attributable to $12.7 million increase from higher</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our second-generation 5G hotspot, and $1.1 million increase of freight charges, partially offset by $3.6 million decrease from lower sales of our 4G products.</w:t>
      </w:r>
    </w:p>
    <w:p>
      <w:pPr>
        <w:spacing w:after="0" w:line="128" w:lineRule="exact"/>
        <w:rPr>
          <w:sz w:val="20"/>
          <w:szCs w:val="20"/>
          <w:color w:val="auto"/>
        </w:rPr>
      </w:pPr>
    </w:p>
    <w:p>
      <w:pPr>
        <w:jc w:val="both"/>
        <w:ind w:right="120" w:firstLine="405"/>
        <w:spacing w:after="0" w:line="248"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Enterprise SaaS Solutions cost of net revenues decreased by $2.4 million compared to the same period in 2021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lower sales of Enterprise SaaS Solutions as a result of the divestiture of Ctrack South Africa on July 30, 2021. Enterprise SaaS Solutions cost of net revenues from the rest of the world stayed relatively flat.</w:t>
      </w:r>
    </w:p>
    <w:p>
      <w:pPr>
        <w:spacing w:after="0" w:line="128" w:lineRule="exact"/>
        <w:rPr>
          <w:sz w:val="20"/>
          <w:szCs w:val="20"/>
          <w:color w:val="auto"/>
        </w:rPr>
      </w:pPr>
    </w:p>
    <w:p>
      <w:pPr>
        <w:ind w:right="80" w:firstLine="405"/>
        <w:spacing w:after="0" w:line="241"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three months ended March 31, 2022 was $15.2 million, or a gross margin of 24.8%, compared to $18.5 million,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margin of 32.1%, for the same period in 2021. The decrease in gross profit was primarily attributable to a decrease in Enterprise SaaS Solutions as a result of the sale of Ctrack South Africa, which had a higher gross profit. This decrease was partially offset by an increase in gross profit from IoT &amp; Mobile Solutions as our 5G revenue and Inseego Subscribe business continued to grow. The following table summarizes operating costs and expenses (dollars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1180" w:type="dxa"/>
            <w:vAlign w:val="bottom"/>
            <w:gridSpan w:val="3"/>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r>
      <w:tr>
        <w:trPr>
          <w:trHeight w:val="200"/>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r>
      <w:tr>
        <w:trPr>
          <w:trHeight w:val="212"/>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27.5 %</w:t>
            </w:r>
          </w:p>
        </w:tc>
      </w:tr>
      <w:tr>
        <w:trPr>
          <w:trHeight w:val="213"/>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9"/>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6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Amortization of purchased intangible assets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(4.7)%</w:t>
            </w:r>
          </w:p>
        </w:tc>
      </w:tr>
      <w:tr>
        <w:trPr>
          <w:trHeight w:val="235"/>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37,015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34,669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6.8 %</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right="80" w:firstLine="405"/>
        <w:spacing w:after="0" w:line="262" w:lineRule="auto"/>
        <w:rPr>
          <w:sz w:val="20"/>
          <w:szCs w:val="20"/>
          <w:color w:val="auto"/>
        </w:rPr>
      </w:pPr>
      <w:r>
        <w:rPr>
          <w:rFonts w:ascii="Arial" w:cs="Arial" w:eastAsia="Arial" w:hAnsi="Arial"/>
          <w:sz w:val="17"/>
          <w:szCs w:val="17"/>
          <w:b w:val="1"/>
          <w:bCs w:val="1"/>
          <w:i w:val="1"/>
          <w:iCs w:val="1"/>
          <w:color w:val="auto"/>
        </w:rPr>
        <w:t xml:space="preserve">Research and development expenses. </w:t>
      </w:r>
      <w:r>
        <w:rPr>
          <w:rFonts w:ascii="Arial" w:cs="Arial" w:eastAsia="Arial" w:hAnsi="Arial"/>
          <w:sz w:val="17"/>
          <w:szCs w:val="17"/>
          <w:color w:val="auto"/>
        </w:rPr>
        <w:t>Research and development expenses for the three months ended March 31, 2022 were $18.6 million, or 30.2%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net revenues, compared to $14.6 million, or 25.3% of net revenues, for the same period in 2021. The increase was primarily a result of $0.9 million increase in payroll costs that were not capitalized due to timing of meeting technological feasibility milestone for capitalized software for various R&amp;D projects, $2.3 million increase in amortization, and $0.8 million increase in share-based compensation expense.</w:t>
      </w:r>
    </w:p>
    <w:p>
      <w:pPr>
        <w:spacing w:after="0" w:line="105" w:lineRule="exact"/>
        <w:rPr>
          <w:sz w:val="20"/>
          <w:szCs w:val="20"/>
          <w:color w:val="auto"/>
        </w:rPr>
      </w:pPr>
    </w:p>
    <w:p>
      <w:pPr>
        <w:ind w:right="120" w:firstLine="405"/>
        <w:spacing w:after="0" w:line="266"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three months ended March 31, 2022 were $9.8 million, or 15.9%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$11.0 million, or 19.1% of net revenues, for the same period in 2021. The decrease was primarily a result of the decrease of payroll costs for Ctrack South Africa employees, given the divestiture was completed on July 30, 2021. This decrease was partially offset by the increase in outbound freight charges, consulting expenses and commission to employees which is in line with the revenue increase from IoT &amp; Mobile Solutions.</w:t>
      </w:r>
    </w:p>
    <w:p>
      <w:pPr>
        <w:spacing w:after="0" w:line="183" w:lineRule="exact"/>
        <w:rPr>
          <w:sz w:val="20"/>
          <w:szCs w:val="20"/>
          <w:color w:val="auto"/>
        </w:rPr>
      </w:pPr>
    </w:p>
    <w:p>
      <w:pPr>
        <w:ind w:right="20" w:firstLine="405"/>
        <w:spacing w:after="0" w:line="227"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three months ended March 31, 2022 were $8.2 million, or 13.4%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net revenues, compared to $8.6 million, or 15.0% of net revenues, for the same period in 2021. The decrease was primarily due to the decrease in payroll costs for Ctrack South Africa employees, given the divestiture was completed on July 30, 2021. The decrease in general and administrative expenses was partially offset by a $1.4 million increase in share-based compensation expense attributed by the impact of higher fiscal 2021 bonus grants paid in the first quarter of 2022 in the form of RSUs. See Note 5. </w:t>
      </w:r>
      <w:r>
        <w:rPr>
          <w:rFonts w:ascii="Arial" w:cs="Arial" w:eastAsia="Arial" w:hAnsi="Arial"/>
          <w:sz w:val="18"/>
          <w:szCs w:val="18"/>
          <w:i w:val="1"/>
          <w:iCs w:val="1"/>
          <w:color w:val="auto"/>
        </w:rPr>
        <w:t>Share-based Compensation</w:t>
      </w:r>
      <w:r>
        <w:rPr>
          <w:rFonts w:ascii="Arial" w:cs="Arial" w:eastAsia="Arial" w:hAnsi="Arial"/>
          <w:sz w:val="18"/>
          <w:szCs w:val="18"/>
          <w:color w:val="auto"/>
        </w:rPr>
        <w:t xml:space="preserve"> in the accompanying unaudited condensed consolidated financial statements for further information.</w:t>
      </w:r>
    </w:p>
    <w:p>
      <w:pPr>
        <w:spacing w:after="0" w:line="131" w:lineRule="exact"/>
        <w:rPr>
          <w:sz w:val="20"/>
          <w:szCs w:val="20"/>
          <w:color w:val="auto"/>
        </w:rPr>
      </w:pPr>
    </w:p>
    <w:p>
      <w:pPr>
        <w:ind w:right="140" w:firstLine="405"/>
        <w:spacing w:after="0" w:line="250"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for the three months ended March 31, 2022 and 2021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$0.4 million and $0.5 million, respectively. The decrease was primarily as a result of certain purchased intangible assets being fully amortized as of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table summarizes other income (expense)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80" w:type="dxa"/>
            <w:vAlign w:val="bottom"/>
            <w:gridSpan w:val="3"/>
          </w:tcPr>
          <w:p>
            <w:pPr>
              <w:ind w:left="60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6"/>
                <w:szCs w:val="16"/>
                <w:color w:val="auto"/>
              </w:rPr>
            </w:pPr>
          </w:p>
        </w:tc>
      </w:tr>
      <w:tr>
        <w:trPr>
          <w:trHeight w:val="200"/>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Other (expense) income</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r>
      <w:tr>
        <w:trPr>
          <w:trHeight w:val="210"/>
        </w:trPr>
        <w:tc>
          <w:tcPr>
            <w:tcW w:w="6600" w:type="dxa"/>
            <w:vAlign w:val="bottom"/>
            <w:gridSpan w:val="2"/>
          </w:tcPr>
          <w:p>
            <w:pPr>
              <w:ind w:left="20"/>
              <w:spacing w:after="0"/>
              <w:rPr>
                <w:sz w:val="20"/>
                <w:szCs w:val="20"/>
                <w:color w:val="auto"/>
              </w:rPr>
            </w:pPr>
            <w:r>
              <w:rPr>
                <w:rFonts w:ascii="Arial" w:cs="Arial" w:eastAsia="Arial" w:hAnsi="Arial"/>
                <w:sz w:val="16"/>
                <w:szCs w:val="16"/>
                <w:color w:val="auto"/>
              </w:rPr>
              <w:t>Loss on debt conversion and extinguishment, net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21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58.4 %</w:t>
            </w:r>
          </w:p>
        </w:tc>
      </w:tr>
      <w:tr>
        <w:trPr>
          <w:trHeight w:val="213"/>
        </w:trPr>
        <w:tc>
          <w:tcPr>
            <w:tcW w:w="6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(expense) income, net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(123.3)%</w:t>
            </w:r>
          </w:p>
        </w:tc>
      </w:tr>
      <w:tr>
        <w:trPr>
          <w:trHeight w:val="234"/>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597.0 %</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ind w:right="160" w:firstLine="405"/>
        <w:spacing w:after="0" w:line="243" w:lineRule="auto"/>
        <w:rPr>
          <w:sz w:val="20"/>
          <w:szCs w:val="20"/>
          <w:color w:val="auto"/>
        </w:rPr>
      </w:pPr>
      <w:r>
        <w:rPr>
          <w:rFonts w:ascii="Arial" w:cs="Arial" w:eastAsia="Arial" w:hAnsi="Arial"/>
          <w:sz w:val="18"/>
          <w:szCs w:val="18"/>
          <w:b w:val="1"/>
          <w:bCs w:val="1"/>
          <w:i w:val="1"/>
          <w:iCs w:val="1"/>
          <w:color w:val="auto"/>
        </w:rPr>
        <w:t xml:space="preserve">Loss on debt conversion and extinguishment, net. </w:t>
      </w:r>
      <w:r>
        <w:rPr>
          <w:rFonts w:ascii="Arial" w:cs="Arial" w:eastAsia="Arial" w:hAnsi="Arial"/>
          <w:sz w:val="18"/>
          <w:szCs w:val="18"/>
          <w:color w:val="auto"/>
        </w:rPr>
        <w:t>The loss on debt conversion and extinguishment, net of $0.5 million during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2022 was primarily a result of certain 2022 Notes debt extinguishments related adjustments in prior years recorded in the current period. For the same period in 2021, loss on debt conversion and extinguishment, net was $0.4 million which was primarily related to the extinguishment of the 2022 Notes.</w:t>
      </w:r>
    </w:p>
    <w:p>
      <w:pPr>
        <w:spacing w:after="0" w:line="134" w:lineRule="exact"/>
        <w:rPr>
          <w:sz w:val="20"/>
          <w:szCs w:val="20"/>
          <w:color w:val="auto"/>
        </w:rPr>
      </w:pPr>
    </w:p>
    <w:p>
      <w:pPr>
        <w:ind w:right="20" w:firstLine="405"/>
        <w:spacing w:after="0" w:line="324"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for the three months ended March 31, 2022 and 2021 was $2.9 million and $1.8 million, respectively.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was primarily a result of certain 2022 Notes debt extinguishments related adjustments in prior years recorded in the current period.</w:t>
      </w:r>
    </w:p>
    <w:p>
      <w:pPr>
        <w:spacing w:after="0" w:line="70" w:lineRule="exact"/>
        <w:rPr>
          <w:sz w:val="20"/>
          <w:szCs w:val="20"/>
          <w:color w:val="auto"/>
        </w:rPr>
      </w:pPr>
    </w:p>
    <w:p>
      <w:pPr>
        <w:ind w:right="40" w:firstLine="405"/>
        <w:spacing w:after="0" w:line="284" w:lineRule="auto"/>
        <w:rPr>
          <w:sz w:val="20"/>
          <w:szCs w:val="20"/>
          <w:color w:val="auto"/>
        </w:rPr>
      </w:pPr>
      <w:r>
        <w:rPr>
          <w:rFonts w:ascii="Arial" w:cs="Arial" w:eastAsia="Arial" w:hAnsi="Arial"/>
          <w:sz w:val="16"/>
          <w:szCs w:val="16"/>
          <w:b w:val="1"/>
          <w:bCs w:val="1"/>
          <w:i w:val="1"/>
          <w:iCs w:val="1"/>
          <w:color w:val="auto"/>
        </w:rPr>
        <w:t xml:space="preserve">Other (expense) income, net. </w:t>
      </w:r>
      <w:r>
        <w:rPr>
          <w:rFonts w:ascii="Arial" w:cs="Arial" w:eastAsia="Arial" w:hAnsi="Arial"/>
          <w:sz w:val="16"/>
          <w:szCs w:val="16"/>
          <w:color w:val="auto"/>
        </w:rPr>
        <w:t>Other expense, net, for the three months ended March 31, 2022 was $0.4 million, which primarily includes $1.0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foreign currency exchange gains and losses partially offset by the $0.6 million fair value adjustment related to our interest make-whole arrangement. For the same period in 2021, other income, net, was $1.7 million, which primarily includes the fair value adjustment related to our interest make-whole arrangement. Fair value input changes between the periods are primarily related to increased interest rates and a lower stock price.</w:t>
      </w:r>
    </w:p>
    <w:p>
      <w:pPr>
        <w:spacing w:after="0" w:line="10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summarizes income tax provision, net income attributable to noncontrolling interests, and Series E preferred stock dividends (dollars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244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16"/>
                <w:szCs w:val="16"/>
                <w:color w:val="auto"/>
              </w:rPr>
            </w:pPr>
          </w:p>
        </w:tc>
        <w:tc>
          <w:tcPr>
            <w:tcW w:w="900" w:type="dxa"/>
            <w:vAlign w:val="bottom"/>
            <w:gridSpan w:val="3"/>
          </w:tcPr>
          <w:p>
            <w:pPr>
              <w:ind w:left="3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r>
      <w:tr>
        <w:trPr>
          <w:trHeight w:val="187"/>
        </w:trPr>
        <w:tc>
          <w:tcPr>
            <w:tcW w:w="660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r>
      <w:tr>
        <w:trPr>
          <w:trHeight w:val="211"/>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72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(322)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44"/>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4"/>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(543)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72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6"/>
                <w:szCs w:val="16"/>
                <w:color w:val="auto"/>
                <w:w w:val="90"/>
              </w:rPr>
              <w:t>(214)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214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E preferred stock dividends</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(661)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(867)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 xml:space="preserve">Income tax (benefit) provision. </w:t>
      </w:r>
      <w:r>
        <w:rPr>
          <w:rFonts w:ascii="Arial" w:cs="Arial" w:eastAsia="Arial" w:hAnsi="Arial"/>
          <w:sz w:val="16"/>
          <w:szCs w:val="16"/>
          <w:color w:val="auto"/>
        </w:rPr>
        <w:t>The income tax benefit of $0.3 million for the three months ended March 31, 2022 and the income tax provision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$0.2 million for the same period in 2021, respectively, consisted primarily of foreign income taxes at certain of our international entities and minimum state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taxes for our U.S.-based entities. Our income tax expense is different than the expected expense based on statutory rates primarily due to full valuation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allowances at all of our U.S.-based entities and several of our foreign subsidiaries. The tax benefit for the first quarter of 2022 and the tax expense for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2021 were largely driven by foreign currency losses, and gains, respectively, at our foreign subsidiaries.</w:t>
      </w:r>
    </w:p>
    <w:p>
      <w:pPr>
        <w:spacing w:after="0" w:line="142" w:lineRule="exact"/>
        <w:rPr>
          <w:sz w:val="20"/>
          <w:szCs w:val="20"/>
          <w:color w:val="auto"/>
        </w:rPr>
      </w:pPr>
    </w:p>
    <w:p>
      <w:pPr>
        <w:ind w:right="140" w:firstLine="405"/>
        <w:spacing w:after="0" w:line="248" w:lineRule="auto"/>
        <w:rPr>
          <w:sz w:val="20"/>
          <w:szCs w:val="20"/>
          <w:color w:val="auto"/>
        </w:rPr>
      </w:pPr>
      <w:r>
        <w:rPr>
          <w:rFonts w:ascii="Arial" w:cs="Arial" w:eastAsia="Arial" w:hAnsi="Arial"/>
          <w:sz w:val="18"/>
          <w:szCs w:val="18"/>
          <w:b w:val="1"/>
          <w:bCs w:val="1"/>
          <w:i w:val="1"/>
          <w:iCs w:val="1"/>
          <w:color w:val="auto"/>
        </w:rPr>
        <w:t xml:space="preserve">Net income attributable to noncontrolling interests. </w:t>
      </w:r>
      <w:r>
        <w:rPr>
          <w:rFonts w:ascii="Arial" w:cs="Arial" w:eastAsia="Arial" w:hAnsi="Arial"/>
          <w:sz w:val="18"/>
          <w:szCs w:val="18"/>
          <w:color w:val="auto"/>
        </w:rPr>
        <w:t>There was no net income or loss attributable to noncontrolling interests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2022, compared to a net income attributable to noncontrolling interests of $0.2 million for the same period in 2021, due to the sale of the noncontrolling interests as part of the sale of Ctrack South Africa.</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7" w:name="page28"/>
    <w:bookmarkEnd w:id="27"/>
    <w:p>
      <w:pPr>
        <w:ind w:left="420"/>
        <w:spacing w:after="0"/>
        <w:rPr>
          <w:sz w:val="20"/>
          <w:szCs w:val="20"/>
          <w:color w:val="auto"/>
        </w:rPr>
      </w:pPr>
      <w:r>
        <w:rPr>
          <w:rFonts w:ascii="Arial" w:cs="Arial" w:eastAsia="Arial" w:hAnsi="Arial"/>
          <w:sz w:val="17"/>
          <w:szCs w:val="17"/>
          <w:b w:val="1"/>
          <w:bCs w:val="1"/>
          <w:i w:val="1"/>
          <w:iCs w:val="1"/>
          <w:color w:val="auto"/>
        </w:rPr>
        <w:t xml:space="preserve">Series E preferred stock dividends. </w:t>
      </w:r>
      <w:r>
        <w:rPr>
          <w:rFonts w:ascii="Arial" w:cs="Arial" w:eastAsia="Arial" w:hAnsi="Arial"/>
          <w:sz w:val="17"/>
          <w:szCs w:val="17"/>
          <w:color w:val="auto"/>
        </w:rPr>
        <w:t>During the three months ended March 31, 2022 and 2021, we recorded dividends of $0.7 million and</w:t>
      </w:r>
    </w:p>
    <w:p>
      <w:pPr>
        <w:spacing w:after="0" w:line="23" w:lineRule="exact"/>
        <w:rPr>
          <w:sz w:val="20"/>
          <w:szCs w:val="20"/>
          <w:color w:val="auto"/>
        </w:rPr>
      </w:pPr>
    </w:p>
    <w:p>
      <w:pPr>
        <w:jc w:val="both"/>
        <w:ind w:right="160"/>
        <w:spacing w:after="0" w:line="283" w:lineRule="auto"/>
        <w:rPr>
          <w:sz w:val="20"/>
          <w:szCs w:val="20"/>
          <w:color w:val="auto"/>
        </w:rPr>
      </w:pPr>
      <w:r>
        <w:rPr>
          <w:rFonts w:ascii="Arial" w:cs="Arial" w:eastAsia="Arial" w:hAnsi="Arial"/>
          <w:sz w:val="16"/>
          <w:szCs w:val="16"/>
          <w:color w:val="auto"/>
        </w:rPr>
        <w:t>$0.9 million, respectively, on our Fixed-Rate Cumulative Perpetual Preferred Stock, Series E, par value $0.001 per share (the “Series E Preferred Stock”). The decrease was primarily attributable to a decrease in the recurring preferred stock dividends as 10,000 shares of the original 35,000 shares of preferred stock were extinguished in September 2021, resulting in a lower preferred stock dividend accrued for the period ended March 31,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right="480" w:firstLine="405"/>
        <w:spacing w:after="0" w:line="307" w:lineRule="auto"/>
        <w:rPr>
          <w:sz w:val="20"/>
          <w:szCs w:val="20"/>
          <w:color w:val="auto"/>
        </w:rPr>
      </w:pPr>
      <w:r>
        <w:rPr>
          <w:rFonts w:ascii="Arial" w:cs="Arial" w:eastAsia="Arial" w:hAnsi="Arial"/>
          <w:sz w:val="16"/>
          <w:szCs w:val="16"/>
          <w:color w:val="auto"/>
        </w:rPr>
        <w:t>Our principal sources of liquidity are our existing cash and cash equivalents and cash generated from operations. As of March 31, 2022, we had available cash and cash equivalents totaling $41.5 million, as well as $3.7 million of restricted cash that will become available in July 2022.</w:t>
      </w:r>
    </w:p>
    <w:p>
      <w:pPr>
        <w:spacing w:after="0" w:line="83" w:lineRule="exact"/>
        <w:rPr>
          <w:sz w:val="20"/>
          <w:szCs w:val="20"/>
          <w:color w:val="auto"/>
        </w:rPr>
      </w:pPr>
    </w:p>
    <w:p>
      <w:pPr>
        <w:ind w:right="300" w:firstLine="405"/>
        <w:spacing w:after="0" w:line="248" w:lineRule="auto"/>
        <w:rPr>
          <w:sz w:val="20"/>
          <w:szCs w:val="20"/>
          <w:color w:val="auto"/>
        </w:rPr>
      </w:pPr>
      <w:r>
        <w:rPr>
          <w:rFonts w:ascii="Arial" w:cs="Arial" w:eastAsia="Arial" w:hAnsi="Arial"/>
          <w:sz w:val="18"/>
          <w:szCs w:val="18"/>
          <w:color w:val="auto"/>
        </w:rPr>
        <w:t>On July 30, 2021, we completed the sale of Ctrack South Africa. Initial cash proceeds of $36.6 million were received. Final cash proceeds were subject to certain post-closing working capital adjustments which totaled $2.6 million, $2.2 million of which was received on October 29, 2021, and the remaining $0.4 million was offset with our existing accounts payable balance to the buyer.</w:t>
      </w:r>
    </w:p>
    <w:p>
      <w:pPr>
        <w:spacing w:after="0" w:line="60" w:lineRule="exact"/>
        <w:rPr>
          <w:sz w:val="20"/>
          <w:szCs w:val="20"/>
          <w:color w:val="auto"/>
        </w:rPr>
      </w:pPr>
    </w:p>
    <w:p>
      <w:pPr>
        <w:ind w:right="40" w:firstLine="405"/>
        <w:spacing w:after="0" w:line="219" w:lineRule="auto"/>
        <w:rPr>
          <w:sz w:val="20"/>
          <w:szCs w:val="20"/>
          <w:color w:val="auto"/>
        </w:rPr>
      </w:pPr>
      <w:r>
        <w:rPr>
          <w:rFonts w:ascii="Arial" w:cs="Arial" w:eastAsia="Arial" w:hAnsi="Arial"/>
          <w:sz w:val="18"/>
          <w:szCs w:val="18"/>
          <w:color w:val="auto"/>
        </w:rPr>
        <w:t>On January 25, 2021, we entered into an Equity Distribution Agreement with Canaccord Genuity LLC (the “Agent”), pursuant to which we may offer and sell, from time to time, through or to the Agent, up to $40.0 million of shares of our common stock (the “ATM Offering”). In January 2021, we sold 1,516,073 shares of common stock, at an average price of $20.11 per share, for net proceeds of $29.4 million, after deducting underwriter fees and discounts of $0.9 million, and other offering fees, pursuant to the ATM Offering.</w:t>
      </w:r>
    </w:p>
    <w:p>
      <w:pPr>
        <w:spacing w:after="0" w:line="5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2022, our outstanding debt primarily consisted of $161.9 million in principal amount of 2025 Notes.</w:t>
      </w:r>
    </w:p>
    <w:p>
      <w:pPr>
        <w:spacing w:after="0" w:line="144" w:lineRule="exact"/>
        <w:rPr>
          <w:sz w:val="20"/>
          <w:szCs w:val="20"/>
          <w:color w:val="auto"/>
        </w:rPr>
      </w:pPr>
    </w:p>
    <w:p>
      <w:pPr>
        <w:ind w:right="20" w:firstLine="405"/>
        <w:spacing w:after="0" w:line="255" w:lineRule="auto"/>
        <w:rPr>
          <w:sz w:val="20"/>
          <w:szCs w:val="20"/>
          <w:color w:val="auto"/>
        </w:rPr>
      </w:pPr>
      <w:r>
        <w:rPr>
          <w:rFonts w:ascii="Arial" w:cs="Arial" w:eastAsia="Arial" w:hAnsi="Arial"/>
          <w:sz w:val="17"/>
          <w:szCs w:val="17"/>
          <w:color w:val="auto"/>
        </w:rPr>
        <w:t>We have a history of operating and net losses and overall usage of cash from operating and investing activities. Our management believes that our cash and cash equivalents, together with anticipated cash flows from operations, will be sufficient to meet our cash flow needs for the next twelve months from the filing date of this report. Our ability to attain more profitable operations and continue to generate positive cash flow is dependent upon achieving a level and mix of revenues adequate to support our evolving cost structure. If events or circumstances occur such that we do not meet its operating plan as expected, or if we become obligated to pay unforeseen expenditures as a result of ongoing litigation, we may be required to raise capital, reduce planned research and development activities, incur additional restructuring charges or reduce other operating expenses which could have an adverse impact on our ability to achieve our intended business objectives.</w:t>
      </w:r>
    </w:p>
    <w:p>
      <w:pPr>
        <w:spacing w:after="0" w:line="72"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liquidity could be compromised if there is any interruption in our business operations, a material failure to satisfy our contractual commitments or a failure to generate revenue from new or existing products. There can be no assurance that any required or desired restructuring or financing will be available on terms favorable to us, or at all. Ultimately, our ability to attain profitability and to generate positive cash flow is dependent upon achieving a level of revenues adequate to support our evolving cost structure and increasing working capital needs. If events or circumstances occur such that we do not meet our operating plan as expected, we may be required to raise additional capital, reduce planned research and development activities, incur additional restructuring charges or reduce other operating expenses which could have an adverse impact on our ability to achieve our intended business objectives. There can be no assurance that any required or desired restructuring or financing will be available on terms favorable to us, or at all. If additional funds are raised by the issuance of equity securities, Company stockholders could experience dilution of their ownership interests and securities issued may have rights senior to those of the holders of the Company’s common stock. If additional funds are raised by the issuance of debt securities, we may be subject to additional limitations on our operations. Additionally, we are uncertain of the full extent to which the COVID-19 pandemic will impact our business, operations and financial results.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in our contractual obligations in the first quarter of 2022.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Notes</w:t>
      </w:r>
    </w:p>
    <w:p>
      <w:pPr>
        <w:spacing w:after="0" w:line="239" w:lineRule="exact"/>
        <w:rPr>
          <w:sz w:val="20"/>
          <w:szCs w:val="20"/>
          <w:color w:val="auto"/>
        </w:rPr>
      </w:pPr>
    </w:p>
    <w:p>
      <w:pPr>
        <w:ind w:right="280" w:firstLine="405"/>
        <w:spacing w:after="0" w:line="261" w:lineRule="auto"/>
        <w:rPr>
          <w:sz w:val="20"/>
          <w:szCs w:val="20"/>
          <w:color w:val="auto"/>
        </w:rPr>
      </w:pPr>
      <w:r>
        <w:rPr>
          <w:rFonts w:ascii="Arial" w:cs="Arial" w:eastAsia="Arial" w:hAnsi="Arial"/>
          <w:sz w:val="18"/>
          <w:szCs w:val="18"/>
          <w:color w:val="auto"/>
        </w:rPr>
        <w:t>On May 12, 2020, we completed a registered public offering of $100.0 million aggregate principal amount of 2025 Notes and issued $80.4 million principal amount of 2025 Notes in the privately-negotiated exchange agreements that closed concurrently in May 2020.</w:t>
      </w:r>
    </w:p>
    <w:p>
      <w:pPr>
        <w:spacing w:after="0" w:line="198" w:lineRule="exact"/>
        <w:rPr>
          <w:sz w:val="20"/>
          <w:szCs w:val="20"/>
          <w:color w:val="auto"/>
        </w:rPr>
      </w:pPr>
    </w:p>
    <w:p>
      <w:pPr>
        <w:ind w:right="280" w:firstLine="405"/>
        <w:spacing w:after="0" w:line="248" w:lineRule="auto"/>
        <w:rPr>
          <w:sz w:val="20"/>
          <w:szCs w:val="20"/>
          <w:color w:val="auto"/>
        </w:rPr>
      </w:pPr>
      <w:r>
        <w:rPr>
          <w:rFonts w:ascii="Arial" w:cs="Arial" w:eastAsia="Arial" w:hAnsi="Arial"/>
          <w:sz w:val="18"/>
          <w:szCs w:val="18"/>
          <w:color w:val="auto"/>
        </w:rPr>
        <w:t>We issued the 2025 Notes under an indenture, dated May 12, 2020 (the “Base Indenture”), between Inseego Corp. and Wilmington Trust, National Association, as trustee (the “Trustee”), as supplemented by the first supplemental indenture, dated May 12, 2020 (the “Supplemental Indenture” and, together with the Base Indenture, the “Indenture”), between us and the Trustee.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8" w:name="page29"/>
    <w:bookmarkEnd w:id="28"/>
    <w:p>
      <w:pPr>
        <w:ind w:right="100" w:firstLine="405"/>
        <w:spacing w:after="0" w:line="248" w:lineRule="auto"/>
        <w:rPr>
          <w:sz w:val="20"/>
          <w:szCs w:val="20"/>
          <w:color w:val="auto"/>
        </w:rPr>
      </w:pPr>
      <w:r>
        <w:rPr>
          <w:rFonts w:ascii="Arial" w:cs="Arial" w:eastAsia="Arial" w:hAnsi="Arial"/>
          <w:sz w:val="18"/>
          <w:szCs w:val="18"/>
          <w:color w:val="auto"/>
        </w:rPr>
        <w:t>The 2025 Notes will mature on May 1, 2025, unless earlier repurchased, redeemed or converted. The 2025 Notes are senior unsecured obligations of Inseego Corp. and bear interest at an annual rate of 3.25%, payable semi-annually in arrears on May 1 and November 1 of each year, beginning on November 1, 2020.</w:t>
      </w:r>
    </w:p>
    <w:p>
      <w:pPr>
        <w:spacing w:after="0" w:line="209" w:lineRule="exact"/>
        <w:rPr>
          <w:sz w:val="20"/>
          <w:szCs w:val="20"/>
          <w:color w:val="auto"/>
        </w:rPr>
      </w:pPr>
    </w:p>
    <w:p>
      <w:pPr>
        <w:jc w:val="both"/>
        <w:ind w:right="180" w:firstLine="405"/>
        <w:spacing w:after="0" w:line="243" w:lineRule="auto"/>
        <w:rPr>
          <w:sz w:val="20"/>
          <w:szCs w:val="20"/>
          <w:color w:val="auto"/>
        </w:rPr>
      </w:pPr>
      <w:r>
        <w:rPr>
          <w:rFonts w:ascii="Arial" w:cs="Arial" w:eastAsia="Arial" w:hAnsi="Arial"/>
          <w:sz w:val="18"/>
          <w:szCs w:val="18"/>
          <w:color w:val="auto"/>
        </w:rPr>
        <w:t>Holders of the 2025 Notes may convert the 2025 Notes into shares of our common stock (together with cash in lieu of any fractional share), at their option, at any time until the close of business on the scheduled trading day immediately before the maturity date. Upon conversion of the 2025 Notes, we will deliver for each $1,000 principal amount of 2025 Notes converted a number of shares of common stock (together with cash in lieu of any fractional share), equal to the conversion rate.</w:t>
      </w:r>
    </w:p>
    <w:p>
      <w:pPr>
        <w:spacing w:after="0" w:line="215" w:lineRule="exact"/>
        <w:rPr>
          <w:sz w:val="20"/>
          <w:szCs w:val="20"/>
          <w:color w:val="auto"/>
        </w:rPr>
      </w:pPr>
    </w:p>
    <w:p>
      <w:pPr>
        <w:ind w:right="60" w:firstLine="405"/>
        <w:spacing w:after="0" w:line="241" w:lineRule="auto"/>
        <w:rPr>
          <w:sz w:val="20"/>
          <w:szCs w:val="20"/>
          <w:color w:val="auto"/>
        </w:rPr>
      </w:pPr>
      <w:r>
        <w:rPr>
          <w:rFonts w:ascii="Arial" w:cs="Arial" w:eastAsia="Arial" w:hAnsi="Arial"/>
          <w:sz w:val="18"/>
          <w:szCs w:val="18"/>
          <w:color w:val="auto"/>
        </w:rPr>
        <w:t>The initial conversion rate for the 2025 Notes is 79.2896 shares of common stock per $1,000 principal amount of 2025 Notes, which represents an initial conversion price of approximately $12.61 per share, and is subject to adjustment upon the occurrence of certain events, including, but not limited to, certain stock dividends, splits and combinations, the issuance of certain rights, options or warrants to holders of the common stock, certain distributions of assets, debt securities, capital stock or other property to holders of the common stock, cash dividends on the common stock and certain Company tender or exchange offers.</w:t>
      </w:r>
    </w:p>
    <w:p>
      <w:pPr>
        <w:spacing w:after="0" w:line="216" w:lineRule="exact"/>
        <w:rPr>
          <w:sz w:val="20"/>
          <w:szCs w:val="20"/>
          <w:color w:val="auto"/>
        </w:rPr>
      </w:pPr>
    </w:p>
    <w:p>
      <w:pPr>
        <w:ind w:right="620" w:firstLine="405"/>
        <w:spacing w:after="0" w:line="324" w:lineRule="auto"/>
        <w:rPr>
          <w:sz w:val="20"/>
          <w:szCs w:val="20"/>
          <w:color w:val="auto"/>
        </w:rPr>
      </w:pPr>
      <w:r>
        <w:rPr>
          <w:rFonts w:ascii="Arial" w:cs="Arial" w:eastAsia="Arial" w:hAnsi="Arial"/>
          <w:sz w:val="16"/>
          <w:szCs w:val="16"/>
          <w:color w:val="auto"/>
        </w:rPr>
        <w:t>Holders of the 2025 Notes who convert their 2025 Notes may also be entitled to receive, under certain circumstances, an interest make-whole payment payable in, at our election, either cash or shares of the Common Stock (together with cash in lieu of any fractional share).</w:t>
      </w:r>
    </w:p>
    <w:p>
      <w:pPr>
        <w:spacing w:after="0" w:line="151" w:lineRule="exact"/>
        <w:rPr>
          <w:sz w:val="20"/>
          <w:szCs w:val="20"/>
          <w:color w:val="auto"/>
        </w:rPr>
      </w:pPr>
    </w:p>
    <w:p>
      <w:pPr>
        <w:jc w:val="both"/>
        <w:ind w:right="100" w:firstLine="405"/>
        <w:spacing w:after="0"/>
        <w:rPr>
          <w:sz w:val="20"/>
          <w:szCs w:val="20"/>
          <w:color w:val="auto"/>
        </w:rPr>
      </w:pPr>
      <w:r>
        <w:rPr>
          <w:rFonts w:ascii="Arial" w:cs="Arial" w:eastAsia="Arial" w:hAnsi="Arial"/>
          <w:sz w:val="18"/>
          <w:szCs w:val="18"/>
          <w:color w:val="auto"/>
        </w:rPr>
        <w:t>If a fundamental change (as defined in the Indenture) occurs at any time prior to the maturity date, then the noteholders may require us to repurchase their 2025 Notes at a cash repurchase price equal to the principal amount of the 2025 Notes to be repurchased, plus accrued and unpaid interest, if any, to, but excluding, the fundamental change repurchase date. If a</w:t>
      </w:r>
    </w:p>
    <w:p>
      <w:pPr>
        <w:spacing w:after="0" w:line="3" w:lineRule="exact"/>
        <w:rPr>
          <w:sz w:val="20"/>
          <w:szCs w:val="20"/>
          <w:color w:val="auto"/>
        </w:rPr>
      </w:pPr>
    </w:p>
    <w:p>
      <w:pPr>
        <w:ind w:right="340"/>
        <w:spacing w:after="0" w:line="243" w:lineRule="auto"/>
        <w:rPr>
          <w:sz w:val="20"/>
          <w:szCs w:val="20"/>
          <w:color w:val="auto"/>
        </w:rPr>
      </w:pPr>
      <w:r>
        <w:rPr>
          <w:rFonts w:ascii="Arial" w:cs="Arial" w:eastAsia="Arial" w:hAnsi="Arial"/>
          <w:sz w:val="18"/>
          <w:szCs w:val="18"/>
          <w:color w:val="auto"/>
        </w:rPr>
        <w:t>make-whole fundamental change (as defined in the Indenture) occurs, then we will in certain circumstances increase the conversion rate for a specified period of time.</w:t>
      </w:r>
    </w:p>
    <w:p>
      <w:pPr>
        <w:spacing w:after="0" w:line="213" w:lineRule="exact"/>
        <w:rPr>
          <w:sz w:val="20"/>
          <w:szCs w:val="20"/>
          <w:color w:val="auto"/>
        </w:rPr>
      </w:pPr>
    </w:p>
    <w:p>
      <w:pPr>
        <w:ind w:firstLine="405"/>
        <w:spacing w:after="0" w:line="279" w:lineRule="auto"/>
        <w:rPr>
          <w:sz w:val="20"/>
          <w:szCs w:val="20"/>
          <w:color w:val="auto"/>
        </w:rPr>
      </w:pPr>
      <w:r>
        <w:rPr>
          <w:rFonts w:ascii="Arial" w:cs="Arial" w:eastAsia="Arial" w:hAnsi="Arial"/>
          <w:sz w:val="16"/>
          <w:szCs w:val="16"/>
          <w:color w:val="auto"/>
        </w:rPr>
        <w:t>The 2025 Notes will be redeemable, in whole or in part, at our option at any time, and from time to time, on or after May 6, 2023 and on or before the scheduled trading day before the maturity date, at a cash redemption price equal to the principal amount of the 2025 Notes to be redeemed, plus accrued and unpaid interest, if any, to, but excluding, the redemption date, as long as the last reported sale price per share of the common stock exceeds 130% of the conversion price on (i) each of at least 20 trading days, whether or not consecutive, during the 30 consecutive trading days ending on, and including, the trading day immediately before the date we send the related redemption notice; and (ii) the trading day immediately before the date we send such notice.</w:t>
      </w:r>
    </w:p>
    <w:p>
      <w:pPr>
        <w:spacing w:after="0" w:line="186" w:lineRule="exact"/>
        <w:rPr>
          <w:sz w:val="20"/>
          <w:szCs w:val="20"/>
          <w:color w:val="auto"/>
        </w:rPr>
      </w:pPr>
    </w:p>
    <w:p>
      <w:pPr>
        <w:ind w:right="80" w:firstLine="405"/>
        <w:spacing w:after="0" w:line="272" w:lineRule="auto"/>
        <w:rPr>
          <w:sz w:val="20"/>
          <w:szCs w:val="20"/>
          <w:color w:val="auto"/>
        </w:rPr>
      </w:pPr>
      <w:r>
        <w:rPr>
          <w:rFonts w:ascii="Arial" w:cs="Arial" w:eastAsia="Arial" w:hAnsi="Arial"/>
          <w:sz w:val="16"/>
          <w:szCs w:val="16"/>
          <w:color w:val="auto"/>
        </w:rPr>
        <w:t>The Indenture contains customary events of default. If an event of default (other than certain events of bankruptcy, insolvency or reorganization involving Inseego Corp.) occurs and is continuing, the Trustee, by notice to Inseego Corp., or the holders of the 2025 Notes representing at least 25% in aggregate principal amount of the outstanding 2025 Notes, by notice to Inseego Corp. and the Trustee, may declare 100% of the principal of, and all accrued and unpaid interest on, all of the then outstanding 2025 Notes to be due and payable immediately. Upon the occurrence of certain events of bankruptcy, insolvency or reorganization involving Inseego Corp., 100% of the principal of, and all accrued and unpaid interest on, all of the then outstanding 2025 Notes will automatically become immediately due and payable. Notwithstanding the foregoing, the Indenture provides that, to the extent we elect, the sole remedy for an event of default relating to certain failures by us to comply with certain reporting covenants in the Indenture will, for the first 360 days after such event of default, consist exclusively of the right to receive additional interest on the 2025 Notes.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our unaudited condensed consolidated statements of cash flows for the periods indicated (in thousands):</w:t>
      </w:r>
    </w:p>
    <w:p>
      <w:pPr>
        <w:spacing w:after="0" w:line="124" w:lineRule="exact"/>
        <w:rPr>
          <w:sz w:val="20"/>
          <w:szCs w:val="20"/>
          <w:color w:val="auto"/>
        </w:rPr>
      </w:pPr>
    </w:p>
    <w:p>
      <w:pPr>
        <w:jc w:val="center"/>
        <w:ind w:left="8520"/>
        <w:spacing w:after="0"/>
        <w:rPr>
          <w:sz w:val="20"/>
          <w:szCs w:val="20"/>
          <w:color w:val="auto"/>
        </w:rPr>
      </w:pPr>
      <w:r>
        <w:rPr>
          <w:rFonts w:ascii="Arial" w:cs="Arial" w:eastAsia="Arial" w:hAnsi="Arial"/>
          <w:sz w:val="14"/>
          <w:szCs w:val="14"/>
          <w:b w:val="1"/>
          <w:bCs w:val="1"/>
          <w:color w:val="auto"/>
        </w:rPr>
        <w:t>Three Months Ended</w:t>
      </w:r>
    </w:p>
    <w:p>
      <w:pPr>
        <w:jc w:val="center"/>
        <w:ind w:left="85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r>
      <w:tr>
        <w:trPr>
          <w:trHeight w:val="211"/>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(9,396)</w:t>
            </w:r>
          </w:p>
        </w:tc>
      </w:tr>
      <w:tr>
        <w:trPr>
          <w:trHeight w:val="21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29,547</w:t>
            </w:r>
          </w:p>
        </w:tc>
      </w:tr>
      <w:tr>
        <w:trPr>
          <w:trHeight w:val="213"/>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rates on cash</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(1,589)</w:t>
            </w:r>
          </w:p>
        </w:tc>
      </w:tr>
      <w:tr>
        <w:trPr>
          <w:trHeight w:val="212"/>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19,535</w:t>
            </w:r>
          </w:p>
        </w:tc>
      </w:tr>
      <w:tr>
        <w:trPr>
          <w:trHeight w:val="213"/>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49,812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40,015</w:t>
            </w:r>
          </w:p>
        </w:tc>
      </w:tr>
      <w:tr>
        <w:trPr>
          <w:trHeight w:val="235"/>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45,181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59,550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0" w:firstLine="445"/>
        <w:spacing w:after="0" w:line="253"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Net cash used in operating activities was $0.6 million for the three months ended March 31, 2022, compared to net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provided by operating activities of $1.0 million for the same period in 2021. Net cash used in operating activities for the three months ended March 31, 2022 was primarily attributable to $25.2 million net loss incurred during the period and a $0.6 million non-cash gain as a result of the fair value adjustment on derivative instruments, partially offset by net cash provided by working capital of $4.2 million, depreciation and amortization of $7.2 million, share-based compensation expense of $11.2 million, amortization of debt discount and debt issuance costs of $1.7 million, and loss on debt conversion of $0.5 million. Net cash provided by operating activities for the three months ended March 31, 2021 was primarily attributable to net cash provided by working capital of $3.4 million, depreciation and amortization of $6.2 million, amortization of debt discount and debt issuance costs of $0.4 million, loss on debt conversion of $0.4 million, and share-based compensation expense of $9.1 million, offset by $17.0 million net loss incurred during the period, and a $2.0 million non-cash gain as a result of the fair value adjustment on derivative instruments.</w:t>
      </w:r>
    </w:p>
    <w:p>
      <w:pPr>
        <w:spacing w:after="0" w:line="76" w:lineRule="exact"/>
        <w:rPr>
          <w:sz w:val="20"/>
          <w:szCs w:val="20"/>
          <w:color w:val="auto"/>
        </w:rPr>
      </w:pPr>
    </w:p>
    <w:p>
      <w:pPr>
        <w:ind w:right="20" w:firstLine="445"/>
        <w:spacing w:after="0" w:line="239"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during the three months ended March 31, 2022 was $3.9 million, compared to net cash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investing activities of $9.4 million for the same period in 2021. Cash used in investing activities during the three months ended March 31, 2022 was primarily related to $0.8 million purchases of property, plant and equipment and $3.1 million spending on certain costs related to the development of software to be sold in our products, in large part due to the increase in development in support of 5G products and services. Cash used in investing activities during the same period in 2021 was primarily related to $1.3 million purchases of property, plant and equipment and $8.0 million spending on certain costs related to the research and development of software to be sold in our products, in large part due to the increase in development in support of 5G products and services.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used in financing activities during the three months ended March 31, 2022 was $1.1 million, compared to net cash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provided by financing activities of $29.5 million for the same period in 2021. Net cash used in financing activities during the three months ended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March 31, 2022 was primarily related to $1.0 million principal payments for financed other assets. Net cash provided by financing activities for the same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period in 2021 was primarily related to $29.4 million net proceeds received from the ATM Offering, $1.1 million proceeds from stock option exercises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purchases through our employee stock purchase plan, partially offset by $1.2 million principal payments under finance lease obligations and taxes paid 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vested restricted stock units.</w:t>
      </w:r>
    </w:p>
    <w:p>
      <w:pPr>
        <w:spacing w:after="0" w:line="200" w:lineRule="exact"/>
        <w:rPr>
          <w:sz w:val="20"/>
          <w:szCs w:val="20"/>
          <w:color w:val="auto"/>
        </w:rPr>
      </w:pPr>
    </w:p>
    <w:p>
      <w:pPr>
        <w:spacing w:after="0" w:line="23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Off-Balance Sheet Arrangements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engage in any off-balance sheet arrangements.</w:t>
      </w:r>
    </w:p>
    <w:p>
      <w:pPr>
        <w:spacing w:after="0" w:line="200" w:lineRule="exact"/>
        <w:rPr>
          <w:sz w:val="20"/>
          <w:szCs w:val="20"/>
          <w:color w:val="auto"/>
        </w:rPr>
      </w:pPr>
    </w:p>
    <w:p>
      <w:pPr>
        <w:spacing w:after="0" w:line="30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The Company is exposed to market risk in the ordinary course of our business. Our revenue, earnings, cash flows, receivables, and payables are subject to fluctuations due to changes in foreign currency exchange rates. The ongoing COVID-19 pandemic has increased the volatility of global financial markets, which may increase our foreign currency exchange risk.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2025 Notes and Embedded Derivative</w:t>
      </w:r>
    </w:p>
    <w:p>
      <w:pPr>
        <w:spacing w:after="0" w:line="25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total fixed-rate borrowings under the 2025 Notes as of both March 31, 2022 and December 31, 2021 were $161.9 million. We record all of our fixed-rate borrowings at amortized cost and therefore, any changes in interest rates do not impact the values that we report for these senior notes on our consolidated financial statements. As of both March 31, 2022 and December 31, 2021, we had no variable-rate borrowings.</w:t>
      </w:r>
    </w:p>
    <w:p>
      <w:pPr>
        <w:spacing w:after="0" w:line="192"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 xml:space="preserve">The 2025 Notes include an embedded derivative which was marked to fair value at March 31, 2022 and December 31, 2021 of $0.3 million and $0.9 million, respectively. The fair value inputs to the derivative valuation include dividend yield, term, volatility, stock price, and risk-free rate. Consequently we may incur gains and losses on the derivative as changes occur in the stock price, volatility, and risk-free rate at each reporting period. Additional details regarding our 2025 Notes and the embedded derivative are included in Item I Part 1 Note 3. </w:t>
      </w:r>
      <w:r>
        <w:rPr>
          <w:rFonts w:ascii="Arial" w:cs="Arial" w:eastAsia="Arial" w:hAnsi="Arial"/>
          <w:sz w:val="18"/>
          <w:szCs w:val="18"/>
          <w:i w:val="1"/>
          <w:iCs w:val="1"/>
          <w:color w:val="auto"/>
        </w:rPr>
        <w:t>Fair Value Measurement of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and Note 4.</w:t>
      </w:r>
      <w:r>
        <w:rPr>
          <w:rFonts w:ascii="Arial" w:cs="Arial" w:eastAsia="Arial" w:hAnsi="Arial"/>
          <w:sz w:val="18"/>
          <w:szCs w:val="18"/>
          <w:i w:val="1"/>
          <w:iCs w:val="1"/>
          <w:color w:val="auto"/>
        </w:rPr>
        <w:t xml:space="preserve"> Debt </w:t>
      </w:r>
      <w:r>
        <w:rPr>
          <w:rFonts w:ascii="Arial" w:cs="Arial" w:eastAsia="Arial" w:hAnsi="Arial"/>
          <w:sz w:val="18"/>
          <w:szCs w:val="18"/>
          <w:color w:val="auto"/>
        </w:rPr>
        <w:t>in this Quarterly Report on Form 10-Q.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 Risk</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results of operations and cash flows are subject to fluctuations due to changes in foreign currency exchange rates. A majority of our revenue is denominated in U.S. Dollars, and therefore, our revenue is not directly subject to foreign currency risk. However, as we have operations in foreign countries, primarily in Europe, a stronger U.S. Dollar could make our products and services more expensive in foreign countries and therefore reduce demand. A weaker U.S. Dollar could have the opposite effect. Such economic exposure to currency fluctuations is difficult to measure or predict because our sales are also influenced by many other factors.</w:t>
      </w:r>
    </w:p>
    <w:p>
      <w:pPr>
        <w:spacing w:after="0" w:line="13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the three months ended March 31, 2022, sales denominated in foreign currencies were approximately 14.2% of total revenue. Our expenses are generally denominated in the currencies in which our operations are located, which are primarily in the U.S. and to a lesser extent in Europe. Our results of operations and cash flows are, therefore, subject to fluctuations due to changes in foreign currency exchange rates and may be adversely affected in the future due to changes in foreign exchange rates. These foreign functional currencies consist of the pound sterling, Euro, and Australian Dollar (collectively, the “Foreign Functional Currencies”). For the three months ended March 31, 2022, a hypothetical 10% change in Foreign Functional Currency exchange rates would have increased or decreased our revenue by approximately $0.9 million. Actual gains and losses in the future may differ materially from the hypothetical gains and losses discussed above based on changes in the timing and amount of foreign currency exchange rate movements. With the completion of Ctrack South Africa divestiture in July 2021, our foreign currency transaction risk is expected to decrease.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Risk</w:t>
      </w: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Fluctuations in foreign currencies impact the amount of total assets, liabilities, earnings and cash flows that we report for our foreign subsidiaries upon the translation of these amounts into U.S. Dollars for, and as of the end of, each reporting period. In particular, the strengthening of the U.S. Dollar generally will reduce the reported amount of our foreign-denominated cash, cash equivalents, marketable securities, total revenues and total expense that we translate into U.S. Dollars and report in our consolidated financial statements for, and as of the end of, each reporting period. With the completion of the Ctrack South Africa divestiture in July 2021, our foreign currency translation risk is expected to decrease.</w:t>
      </w:r>
    </w:p>
    <w:p>
      <w:pPr>
        <w:spacing w:after="0" w:line="36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120" w:firstLine="405"/>
        <w:spacing w:after="0" w:line="241" w:lineRule="auto"/>
        <w:rPr>
          <w:sz w:val="20"/>
          <w:szCs w:val="20"/>
          <w:color w:val="auto"/>
        </w:rPr>
      </w:pPr>
      <w:r>
        <w:rPr>
          <w:rFonts w:ascii="Arial" w:cs="Arial" w:eastAsia="Arial" w:hAnsi="Arial"/>
          <w:sz w:val="18"/>
          <w:szCs w:val="18"/>
          <w:color w:val="auto"/>
        </w:rPr>
        <w:t>The Company maintains disclosure controls and procedures, as defined in Rule 13a-15(e) and 15d-15(e) promulgated under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81" w:lineRule="exact"/>
        <w:rPr>
          <w:sz w:val="20"/>
          <w:szCs w:val="20"/>
          <w:color w:val="auto"/>
        </w:rPr>
      </w:pPr>
    </w:p>
    <w:p>
      <w:pPr>
        <w:ind w:right="380" w:firstLine="405"/>
        <w:spacing w:after="0" w:line="261" w:lineRule="auto"/>
        <w:rPr>
          <w:sz w:val="20"/>
          <w:szCs w:val="20"/>
          <w:color w:val="auto"/>
        </w:rPr>
      </w:pPr>
      <w:r>
        <w:rPr>
          <w:rFonts w:ascii="Arial" w:cs="Arial" w:eastAsia="Arial" w:hAnsi="Arial"/>
          <w:sz w:val="18"/>
          <w:szCs w:val="18"/>
          <w:color w:val="auto"/>
        </w:rPr>
        <w:t>As required by Rule 13a-15(b) promulgated under the Exchange Act, the Company carried out an evaluation, under the supervision and with the participation of the Company’s management, including the Company’s principal executive officer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31" w:name="page32"/>
    <w:bookmarkEnd w:id="31"/>
    <w:p>
      <w:pPr>
        <w:spacing w:after="0" w:line="248" w:lineRule="auto"/>
        <w:rPr>
          <w:sz w:val="20"/>
          <w:szCs w:val="20"/>
          <w:color w:val="auto"/>
        </w:rPr>
      </w:pPr>
      <w:r>
        <w:rPr>
          <w:rFonts w:ascii="Arial" w:cs="Arial" w:eastAsia="Arial" w:hAnsi="Arial"/>
          <w:sz w:val="18"/>
          <w:szCs w:val="18"/>
          <w:color w:val="auto"/>
        </w:rPr>
        <w:t>principal financial officer, of the effectiveness of the design and operation of the Company’s disclosure controls and procedures as of March 31, 2022, the end of the period covered by this report. Based on the foregoing, our principal executive officer and principal financial officer concluded that our disclosure controls and procedures were effective as of March 31, 2022.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100" w:firstLine="405"/>
        <w:spacing w:after="0" w:line="248"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and 15d-15(f) promulgated under the Exchange Act, during the three months ended March 31,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08" w:lineRule="exact"/>
        <w:rPr>
          <w:sz w:val="20"/>
          <w:szCs w:val="20"/>
          <w:color w:val="auto"/>
        </w:rPr>
      </w:pPr>
    </w:p>
    <w:p>
      <w:pPr>
        <w:ind w:right="220" w:firstLine="405"/>
        <w:spacing w:after="0" w:line="261" w:lineRule="auto"/>
        <w:rPr>
          <w:sz w:val="20"/>
          <w:szCs w:val="20"/>
          <w:color w:val="auto"/>
        </w:rPr>
      </w:pPr>
      <w:r>
        <w:rPr>
          <w:rFonts w:ascii="Arial" w:cs="Arial" w:eastAsia="Arial" w:hAnsi="Arial"/>
          <w:sz w:val="18"/>
          <w:szCs w:val="18"/>
          <w:color w:val="auto"/>
        </w:rPr>
        <w:t xml:space="preserve">The disclosure in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unaudited condensed consolidated financial statements includes a discussion of our legal proceedings and is incorporated herein by reference.</w:t>
      </w:r>
    </w:p>
    <w:p>
      <w:pPr>
        <w:spacing w:after="0" w:line="63" w:lineRule="exact"/>
        <w:rPr>
          <w:sz w:val="20"/>
          <w:szCs w:val="20"/>
          <w:color w:val="auto"/>
        </w:rPr>
      </w:pPr>
    </w:p>
    <w:p>
      <w:pPr>
        <w:ind w:right="240" w:firstLine="405"/>
        <w:spacing w:after="0" w:line="248" w:lineRule="auto"/>
        <w:rPr>
          <w:sz w:val="20"/>
          <w:szCs w:val="20"/>
          <w:color w:val="auto"/>
        </w:rPr>
      </w:pPr>
      <w:r>
        <w:rPr>
          <w:rFonts w:ascii="Arial" w:cs="Arial" w:eastAsia="Arial" w:hAnsi="Arial"/>
          <w:sz w:val="18"/>
          <w:szCs w:val="18"/>
          <w:color w:val="auto"/>
        </w:rPr>
        <w:t>The Company is also engaged in various other legal actions arising in the ordinary course of our business and, while there can be no assurance, the Company currently believes that the ultimate outcome of these other legal actions will not have a material adverse effect on its business, results of operations, financial condition or cash flows.</w:t>
      </w:r>
    </w:p>
    <w:p>
      <w:pPr>
        <w:spacing w:after="0" w:line="200" w:lineRule="exact"/>
        <w:rPr>
          <w:sz w:val="20"/>
          <w:szCs w:val="20"/>
          <w:color w:val="auto"/>
        </w:rPr>
      </w:pPr>
    </w:p>
    <w:p>
      <w:pPr>
        <w:spacing w:after="0" w:line="3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7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There have been no material changes in our risk factors from those disclosed in “Item 1A. Risk Factors” of the Form 10-K, Form 10-Q,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w:t>
      </w:r>
    </w:p>
    <w:p>
      <w:pPr>
        <w:spacing w:after="0" w:line="34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040" w:type="dxa"/>
            <w:vAlign w:val="bottom"/>
            <w:gridSpan w:val="11"/>
          </w:tcPr>
          <w:p>
            <w:pPr>
              <w:ind w:left="20"/>
              <w:spacing w:after="0"/>
              <w:rPr>
                <w:sz w:val="20"/>
                <w:szCs w:val="20"/>
                <w:color w:val="auto"/>
              </w:rPr>
            </w:pPr>
            <w:r>
              <w:rPr>
                <w:rFonts w:ascii="Arial" w:cs="Arial" w:eastAsia="Arial" w:hAnsi="Arial"/>
                <w:sz w:val="18"/>
                <w:szCs w:val="18"/>
                <w:b w:val="1"/>
                <w:bCs w:val="1"/>
                <w:i w:val="1"/>
                <w:iCs w:val="1"/>
                <w:color w:val="auto"/>
              </w:rPr>
              <w:t>Exhibits.</w:t>
            </w:r>
          </w:p>
        </w:tc>
      </w:tr>
      <w:tr>
        <w:trPr>
          <w:trHeight w:val="304"/>
        </w:trPr>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Exhibit No.</w:t>
            </w: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Description</w:t>
            </w:r>
          </w:p>
        </w:tc>
      </w:tr>
      <w:tr>
        <w:trPr>
          <w:trHeight w:val="229"/>
        </w:trPr>
        <w:tc>
          <w:tcPr>
            <w:tcW w:w="760" w:type="dxa"/>
            <w:vAlign w:val="bottom"/>
          </w:tcPr>
          <w:p>
            <w:pPr>
              <w:ind w:left="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20" w:type="dxa"/>
            <w:vAlign w:val="bottom"/>
            <w:gridSpan w:val="8"/>
          </w:tcPr>
          <w:p>
            <w:pPr>
              <w:spacing w:after="0"/>
              <w:rPr>
                <w:rFonts w:ascii="Arial" w:cs="Arial" w:eastAsia="Arial" w:hAnsi="Arial"/>
                <w:sz w:val="18"/>
                <w:szCs w:val="18"/>
                <w:color w:val="0000FF"/>
                <w:w w:val="97"/>
              </w:rPr>
            </w:pPr>
            <w:hyperlink r:id="rId46">
              <w:r>
                <w:rPr>
                  <w:rFonts w:ascii="Arial" w:cs="Arial" w:eastAsia="Arial" w:hAnsi="Arial"/>
                  <w:sz w:val="18"/>
                  <w:szCs w:val="18"/>
                  <w:color w:val="0000FF"/>
                  <w:w w:val="97"/>
                </w:rPr>
                <w:t>Share Purchase Agreement, dated as of February 24, 2021, by and between Inseego Corp. and Main Street 1816</w:t>
              </w:r>
            </w:hyperlink>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tcBorders>
            <w:gridSpan w:val="3"/>
          </w:tcPr>
          <w:p>
            <w:pPr>
              <w:spacing w:after="0" w:line="15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Proprietary Limited (in the process of being renamed Convergence CTSA Proprietary Limited)(incorporated by</w:t>
              </w:r>
            </w:hyperlink>
          </w:p>
        </w:tc>
        <w:tc>
          <w:tcPr>
            <w:tcW w:w="760" w:type="dxa"/>
            <w:vAlign w:val="bottom"/>
            <w:gridSpan w:val="5"/>
          </w:tcPr>
          <w:p>
            <w:pPr>
              <w:ind w:left="40"/>
              <w:spacing w:after="0" w:line="15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reference</w:t>
              </w:r>
            </w:hyperlink>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46">
              <w:r>
                <w:rPr>
                  <w:rFonts w:ascii="Arial" w:cs="Arial" w:eastAsia="Arial" w:hAnsi="Arial"/>
                  <w:sz w:val="18"/>
                  <w:szCs w:val="18"/>
                  <w:color w:val="0000FF"/>
                </w:rPr>
                <w:t>to Exhibit 10.1 to the Company’s Current Report on Form 8-K, filed February 25, 2021).</w:t>
              </w:r>
            </w:hyperlink>
          </w:p>
        </w:tc>
        <w:tc>
          <w:tcPr>
            <w:tcW w:w="60" w:type="dxa"/>
            <w:vAlign w:val="bottom"/>
          </w:tcPr>
          <w:p>
            <w:pPr>
              <w:spacing w:after="0"/>
              <w:rPr>
                <w:sz w:val="13"/>
                <w:szCs w:val="13"/>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09"/>
        </w:trPr>
        <w:tc>
          <w:tcPr>
            <w:tcW w:w="760" w:type="dxa"/>
            <w:vAlign w:val="bottom"/>
          </w:tcPr>
          <w:p>
            <w:pPr>
              <w:ind w:left="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tcBorders>
              <w:bottom w:val="single" w:sz="8" w:color="0000FF"/>
            </w:tcBorders>
            <w:gridSpan w:val="4"/>
          </w:tcPr>
          <w:p>
            <w:pPr>
              <w:spacing w:after="0"/>
              <w:rPr>
                <w:rFonts w:ascii="Arial" w:cs="Arial" w:eastAsia="Arial" w:hAnsi="Arial"/>
                <w:sz w:val="18"/>
                <w:szCs w:val="18"/>
                <w:color w:val="0000FF"/>
                <w:w w:val="89"/>
              </w:rPr>
            </w:pPr>
            <w:hyperlink r:id="rId47">
              <w:r>
                <w:rPr>
                  <w:rFonts w:ascii="Arial" w:cs="Arial" w:eastAsia="Arial" w:hAnsi="Arial"/>
                  <w:sz w:val="18"/>
                  <w:szCs w:val="18"/>
                  <w:color w:val="0000FF"/>
                  <w:w w:val="89"/>
                </w:rPr>
                <w:t>Third Addendum dated June 30, 2021 to the Share Purchase Agreement dated February 24, 2021 between Main Street</w:t>
              </w:r>
            </w:hyperlink>
          </w:p>
        </w:tc>
        <w:tc>
          <w:tcPr>
            <w:tcW w:w="300" w:type="dxa"/>
            <w:vAlign w:val="bottom"/>
            <w:gridSpan w:val="4"/>
          </w:tcPr>
          <w:p>
            <w:pPr>
              <w:spacing w:after="0"/>
              <w:rPr>
                <w:sz w:val="18"/>
                <w:szCs w:val="18"/>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gridSpan w:val="8"/>
          </w:tcPr>
          <w:p>
            <w:pPr>
              <w:spacing w:after="0" w:line="156" w:lineRule="exact"/>
              <w:rPr>
                <w:rFonts w:ascii="Arial" w:cs="Arial" w:eastAsia="Arial" w:hAnsi="Arial"/>
                <w:sz w:val="18"/>
                <w:szCs w:val="18"/>
                <w:color w:val="0000FF"/>
                <w:w w:val="93"/>
              </w:rPr>
            </w:pPr>
            <w:hyperlink r:id="rId47">
              <w:r>
                <w:rPr>
                  <w:rFonts w:ascii="Arial" w:cs="Arial" w:eastAsia="Arial" w:hAnsi="Arial"/>
                  <w:sz w:val="18"/>
                  <w:szCs w:val="18"/>
                  <w:color w:val="0000FF"/>
                  <w:w w:val="93"/>
                </w:rPr>
                <w:t>1816 Proprietary Limited (in the process of being renamed Convergence CTSA Proprietary Limited) and Inseego Corp.</w:t>
              </w:r>
            </w:hyperlink>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20" w:type="dxa"/>
            <w:vAlign w:val="bottom"/>
            <w:tcBorders>
              <w:top w:val="single" w:sz="8" w:color="0000FF"/>
            </w:tcBorders>
            <w:gridSpan w:val="5"/>
          </w:tcPr>
          <w:p>
            <w:pPr>
              <w:spacing w:after="0" w:line="156" w:lineRule="exact"/>
              <w:rPr>
                <w:rFonts w:ascii="Arial" w:cs="Arial" w:eastAsia="Arial" w:hAnsi="Arial"/>
                <w:sz w:val="18"/>
                <w:szCs w:val="18"/>
                <w:color w:val="0000FF"/>
                <w:w w:val="98"/>
              </w:rPr>
            </w:pPr>
            <w:hyperlink r:id="rId47">
              <w:r>
                <w:rPr>
                  <w:rFonts w:ascii="Arial" w:cs="Arial" w:eastAsia="Arial" w:hAnsi="Arial"/>
                  <w:sz w:val="18"/>
                  <w:szCs w:val="18"/>
                  <w:color w:val="0000FF"/>
                  <w:w w:val="98"/>
                </w:rPr>
                <w:t>(incorporated by reference to Exhibit 10.1 to the Company’s Current Report on Form 8-K filed June 30, 2021</w:t>
              </w:r>
              <w:r>
                <w:rPr>
                  <w:rFonts w:ascii="Arial" w:cs="Arial" w:eastAsia="Arial" w:hAnsi="Arial"/>
                  <w:sz w:val="18"/>
                  <w:szCs w:val="18"/>
                  <w:color w:val="000000"/>
                  <w:w w:val="98"/>
                </w:rPr>
                <w:t>).</w:t>
              </w:r>
            </w:hyperlink>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80" w:type="dxa"/>
            <w:vAlign w:val="bottom"/>
            <w:gridSpan w:val="2"/>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09"/>
        </w:trPr>
        <w:tc>
          <w:tcPr>
            <w:tcW w:w="760" w:type="dxa"/>
            <w:vAlign w:val="bottom"/>
          </w:tcPr>
          <w:p>
            <w:pPr>
              <w:ind w:left="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20" w:type="dxa"/>
            <w:vAlign w:val="bottom"/>
            <w:gridSpan w:val="8"/>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Second Addendum dated April 30, 2021 to the Share Purchase Agreement dated February 24, 2021 between Main Street</w:t>
              </w:r>
            </w:hyperlink>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0000FF"/>
            </w:tcBorders>
            <w:gridSpan w:val="6"/>
          </w:tcPr>
          <w:p>
            <w:pPr>
              <w:spacing w:after="0" w:line="15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1816 Proprietary Limited (in the process of being renamed Convergence CTSA Proprietary Limited) and Inseego Corp.</w:t>
              </w:r>
            </w:hyperlink>
          </w:p>
        </w:tc>
        <w:tc>
          <w:tcPr>
            <w:tcW w:w="120" w:type="dxa"/>
            <w:vAlign w:val="bottom"/>
            <w:gridSpan w:val="2"/>
          </w:tcPr>
          <w:p>
            <w:pPr>
              <w:spacing w:after="0"/>
              <w:rPr>
                <w:sz w:val="13"/>
                <w:szCs w:val="13"/>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20" w:type="dxa"/>
            <w:vAlign w:val="bottom"/>
            <w:tcBorders>
              <w:top w:val="single" w:sz="8" w:color="0000FF"/>
            </w:tcBorders>
            <w:gridSpan w:val="5"/>
          </w:tcPr>
          <w:p>
            <w:pPr>
              <w:spacing w:after="0" w:line="156"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(incorporated by reference to Exhibit 10.2 to the Company’s Current Report on Form 8-K filed June 30, 2021.</w:t>
              </w:r>
            </w:hyperlink>
          </w:p>
        </w:tc>
        <w:tc>
          <w:tcPr>
            <w:tcW w:w="200" w:type="dxa"/>
            <w:vAlign w:val="bottom"/>
            <w:gridSpan w:val="3"/>
          </w:tcPr>
          <w:p>
            <w:pPr>
              <w:spacing w:after="0"/>
              <w:rPr>
                <w:sz w:val="13"/>
                <w:szCs w:val="13"/>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 w:lineRule="exact"/>
        <w:rPr>
          <w:sz w:val="20"/>
          <w:szCs w:val="20"/>
          <w:color w:val="auto"/>
        </w:rPr>
      </w:pPr>
    </w:p>
    <w:p>
      <w:pPr>
        <w:sectPr>
          <w:pgSz w:w="11900" w:h="16838" w:orient="portrait"/>
          <w:cols w:equalWidth="0" w:num="1">
            <w:col w:w="11240"/>
          </w:cols>
          <w:pgMar w:left="320" w:top="891" w:right="339" w:bottom="1440" w:gutter="0" w:footer="0" w:header="0"/>
        </w:sectPr>
      </w:pPr>
    </w:p>
    <w:p>
      <w:pPr>
        <w:ind w:left="20"/>
        <w:spacing w:after="0"/>
        <w:rPr>
          <w:sz w:val="20"/>
          <w:szCs w:val="20"/>
          <w:color w:val="auto"/>
        </w:rPr>
      </w:pPr>
      <w:r>
        <w:rPr>
          <w:rFonts w:ascii="Arial" w:cs="Arial" w:eastAsia="Arial" w:hAnsi="Arial"/>
          <w:sz w:val="17"/>
          <w:szCs w:val="17"/>
          <w:color w:val="auto"/>
        </w:rPr>
        <w:t>2.4</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3.1</w:t>
      </w:r>
    </w:p>
    <w:p>
      <w:pPr>
        <w:spacing w:after="0" w:line="3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3.2</w:t>
      </w:r>
    </w:p>
    <w:p>
      <w:pPr>
        <w:spacing w:after="0" w:line="3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3.3</w:t>
      </w:r>
    </w:p>
    <w:p>
      <w:pPr>
        <w:spacing w:after="0" w:line="3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br w:type="column"/>
      </w:r>
    </w:p>
    <w:p>
      <w:pPr>
        <w:jc w:val="both"/>
        <w:ind w:right="1640"/>
        <w:spacing w:after="0" w:line="276" w:lineRule="auto"/>
        <w:rPr>
          <w:rFonts w:ascii="Arial" w:cs="Arial" w:eastAsia="Arial" w:hAnsi="Arial"/>
          <w:sz w:val="16"/>
          <w:szCs w:val="16"/>
          <w:u w:val="single" w:color="auto"/>
          <w:color w:val="0000FF"/>
        </w:rPr>
      </w:pPr>
      <w:hyperlink r:id="rId49">
        <w:r>
          <w:rPr>
            <w:rFonts w:ascii="Arial" w:cs="Arial" w:eastAsia="Arial" w:hAnsi="Arial"/>
            <w:sz w:val="16"/>
            <w:szCs w:val="16"/>
            <w:u w:val="single" w:color="auto"/>
            <w:color w:val="0000FF"/>
          </w:rPr>
          <w:t>First Addendum dated March 17, 2021 to the Share Purchase Agreement dated February 24, 2021 between Main Street</w:t>
        </w:r>
      </w:hyperlink>
      <w:r>
        <w:rPr>
          <w:rFonts w:ascii="Arial" w:cs="Arial" w:eastAsia="Arial" w:hAnsi="Arial"/>
          <w:sz w:val="16"/>
          <w:szCs w:val="16"/>
          <w:u w:val="single" w:color="auto"/>
          <w:color w:val="0000FF"/>
        </w:rPr>
        <w:t xml:space="preserve"> </w:t>
      </w:r>
      <w:hyperlink r:id="rId49">
        <w:r>
          <w:rPr>
            <w:rFonts w:ascii="Arial" w:cs="Arial" w:eastAsia="Arial" w:hAnsi="Arial"/>
            <w:sz w:val="16"/>
            <w:szCs w:val="16"/>
            <w:u w:val="single" w:color="auto"/>
            <w:color w:val="0000FF"/>
          </w:rPr>
          <w:t>1816 Proprietary Limited (in the process of being renamed Convergence CTSA Proprietary Limited) and Inseego Corp.</w:t>
        </w:r>
      </w:hyperlink>
      <w:r>
        <w:rPr>
          <w:rFonts w:ascii="Arial" w:cs="Arial" w:eastAsia="Arial" w:hAnsi="Arial"/>
          <w:sz w:val="16"/>
          <w:szCs w:val="16"/>
          <w:u w:val="single" w:color="auto"/>
          <w:color w:val="0000FF"/>
        </w:rPr>
        <w:t xml:space="preserve"> </w:t>
      </w:r>
      <w:hyperlink r:id="rId49">
        <w:r>
          <w:rPr>
            <w:rFonts w:ascii="Arial" w:cs="Arial" w:eastAsia="Arial" w:hAnsi="Arial"/>
            <w:sz w:val="16"/>
            <w:szCs w:val="16"/>
            <w:u w:val="single" w:color="auto"/>
            <w:color w:val="0000FF"/>
          </w:rPr>
          <w:t>(incorporated by reference to Exhibit 10.3 to the Company’s Current Report on Form 8-K filed June 30, 2021.</w:t>
        </w:r>
      </w:hyperlink>
    </w:p>
    <w:p>
      <w:pPr>
        <w:spacing w:after="0" w:line="40" w:lineRule="exact"/>
        <w:rPr>
          <w:rFonts w:ascii="Arial" w:cs="Arial" w:eastAsia="Arial" w:hAnsi="Arial"/>
          <w:sz w:val="16"/>
          <w:szCs w:val="16"/>
          <w:u w:val="single" w:color="auto"/>
          <w:color w:val="0000FF"/>
        </w:rPr>
      </w:pPr>
    </w:p>
    <w:p>
      <w:pPr>
        <w:ind w:right="1680"/>
        <w:spacing w:after="0" w:line="246" w:lineRule="auto"/>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Amended and Restated Certificate of Incorporation (incorporated by reference to Exhibit 3.1 to the Company’s Current</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Report on Form 8-K, filed November 9, 2016).</w:t>
        </w:r>
      </w:hyperlink>
    </w:p>
    <w:p>
      <w:pPr>
        <w:spacing w:after="0" w:line="116" w:lineRule="exact"/>
        <w:rPr>
          <w:sz w:val="20"/>
          <w:szCs w:val="20"/>
          <w:color w:val="auto"/>
        </w:rPr>
      </w:pPr>
    </w:p>
    <w:p>
      <w:pPr>
        <w:ind w:right="1540"/>
        <w:spacing w:after="0" w:line="246" w:lineRule="auto"/>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Amended and Restated Bylaws (incorporated by reference to Exhibit 3.2 to the Company’s Current Report on Form 8-K,</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filed November 9, 2016).</w:t>
        </w:r>
      </w:hyperlink>
    </w:p>
    <w:p>
      <w:pPr>
        <w:spacing w:after="0" w:line="116" w:lineRule="exact"/>
        <w:rPr>
          <w:sz w:val="20"/>
          <w:szCs w:val="20"/>
          <w:color w:val="auto"/>
        </w:rPr>
      </w:pPr>
    </w:p>
    <w:p>
      <w:pPr>
        <w:ind w:right="1520"/>
        <w:spacing w:after="0" w:line="246" w:lineRule="auto"/>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Certificate of Designation of Series D Junior Participating Preferred Stock of Inseego Corp. (incorporated by reference to</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Exhibit 3.1 to the Company’s Current Report on Form 8-K, filed January 22, 2018).</w:t>
        </w:r>
      </w:hyperlink>
    </w:p>
    <w:p>
      <w:pPr>
        <w:spacing w:after="0" w:line="62" w:lineRule="exact"/>
        <w:rPr>
          <w:sz w:val="20"/>
          <w:szCs w:val="20"/>
          <w:color w:val="auto"/>
        </w:rPr>
      </w:pPr>
    </w:p>
    <w:p>
      <w:pPr>
        <w:ind w:right="1480"/>
        <w:spacing w:after="0" w:line="224" w:lineRule="auto"/>
        <w:rPr>
          <w:rFonts w:ascii="Arial" w:cs="Arial" w:eastAsia="Arial" w:hAnsi="Arial"/>
          <w:sz w:val="18"/>
          <w:szCs w:val="18"/>
          <w:u w:val="single" w:color="auto"/>
          <w:color w:val="0000FF"/>
        </w:rPr>
      </w:pPr>
      <w:hyperlink r:id="rId53">
        <w:r>
          <w:rPr>
            <w:rFonts w:ascii="Arial" w:cs="Arial" w:eastAsia="Arial" w:hAnsi="Arial"/>
            <w:sz w:val="18"/>
            <w:szCs w:val="18"/>
            <w:u w:val="single" w:color="auto"/>
            <w:color w:val="0000FF"/>
          </w:rPr>
          <w:t>Certificate of Designation of Series E Fixed-Rate Cumulative Perpetual Preferred Stock filed with the Secretary of State</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of the State of Delaware on August 8, 2019 (incorporated by reference to Exhibit 3.1 to the Company’s Current Report on</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Form 8-K, filed August 13, 2019).</w:t>
        </w:r>
      </w:hyperlink>
    </w:p>
    <w:p>
      <w:pPr>
        <w:spacing w:after="0" w:line="1" w:lineRule="exact"/>
        <w:rPr>
          <w:rFonts w:ascii="Arial" w:cs="Arial" w:eastAsia="Arial" w:hAnsi="Arial"/>
          <w:sz w:val="18"/>
          <w:szCs w:val="18"/>
          <w:u w:val="single" w:color="auto"/>
          <w:color w:val="0000FF"/>
        </w:rPr>
      </w:pPr>
    </w:p>
    <w:p>
      <w:pPr>
        <w:sectPr>
          <w:pgSz w:w="11900" w:h="16838" w:orient="portrait"/>
          <w:cols w:equalWidth="0" w:num="2">
            <w:col w:w="260" w:space="720"/>
            <w:col w:w="10260"/>
          </w:cols>
          <w:pgMar w:left="320" w:top="891" w:right="3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980" w:type="dxa"/>
            <w:vAlign w:val="bottom"/>
          </w:tcPr>
          <w:p>
            <w:pPr>
              <w:ind w:left="20"/>
              <w:spacing w:after="0" w:line="191" w:lineRule="exact"/>
              <w:rPr>
                <w:sz w:val="20"/>
                <w:szCs w:val="20"/>
                <w:color w:val="auto"/>
              </w:rPr>
            </w:pPr>
            <w:r>
              <w:rPr>
                <w:rFonts w:ascii="Arial" w:cs="Arial" w:eastAsia="Arial" w:hAnsi="Arial"/>
                <w:sz w:val="18"/>
                <w:szCs w:val="18"/>
                <w:color w:val="auto"/>
              </w:rPr>
              <w:t>3.5</w:t>
            </w:r>
          </w:p>
        </w:tc>
        <w:tc>
          <w:tcPr>
            <w:tcW w:w="10260" w:type="dxa"/>
            <w:vAlign w:val="bottom"/>
            <w:gridSpan w:val="18"/>
          </w:tcPr>
          <w:p>
            <w:pPr>
              <w:spacing w:after="0" w:line="191" w:lineRule="exact"/>
              <w:rPr>
                <w:rFonts w:ascii="Arial" w:cs="Arial" w:eastAsia="Arial" w:hAnsi="Arial"/>
                <w:sz w:val="18"/>
                <w:szCs w:val="18"/>
                <w:color w:val="0000FF"/>
              </w:rPr>
            </w:pPr>
            <w:hyperlink r:id="rId54">
              <w:r>
                <w:rPr>
                  <w:rFonts w:ascii="Arial" w:cs="Arial" w:eastAsia="Arial" w:hAnsi="Arial"/>
                  <w:sz w:val="18"/>
                  <w:szCs w:val="18"/>
                  <w:color w:val="0000FF"/>
                </w:rPr>
                <w:t>Certificate of Amendment to Certificate of Designation of Series E Fixed-Rate Cumulative Perpetual Preferred Stock</w:t>
              </w:r>
            </w:hyperlink>
          </w:p>
        </w:tc>
      </w:tr>
      <w:tr>
        <w:trPr>
          <w:trHeight w:val="156"/>
        </w:trPr>
        <w:tc>
          <w:tcPr>
            <w:tcW w:w="980" w:type="dxa"/>
            <w:vAlign w:val="bottom"/>
          </w:tcPr>
          <w:p>
            <w:pPr>
              <w:spacing w:after="0"/>
              <w:rPr>
                <w:sz w:val="13"/>
                <w:szCs w:val="13"/>
                <w:color w:val="auto"/>
              </w:rPr>
            </w:pPr>
          </w:p>
        </w:tc>
        <w:tc>
          <w:tcPr>
            <w:tcW w:w="8440" w:type="dxa"/>
            <w:vAlign w:val="bottom"/>
            <w:tcBorders>
              <w:top w:val="single" w:sz="8" w:color="0000FF"/>
            </w:tcBorders>
            <w:gridSpan w:val="11"/>
          </w:tcPr>
          <w:p>
            <w:pPr>
              <w:spacing w:after="0" w:line="156" w:lineRule="exact"/>
              <w:rPr>
                <w:rFonts w:ascii="Arial" w:cs="Arial" w:eastAsia="Arial" w:hAnsi="Arial"/>
                <w:sz w:val="18"/>
                <w:szCs w:val="18"/>
                <w:color w:val="0000FF"/>
                <w:w w:val="95"/>
              </w:rPr>
            </w:pPr>
            <w:hyperlink r:id="rId54">
              <w:r>
                <w:rPr>
                  <w:rFonts w:ascii="Arial" w:cs="Arial" w:eastAsia="Arial" w:hAnsi="Arial"/>
                  <w:sz w:val="18"/>
                  <w:szCs w:val="18"/>
                  <w:color w:val="0000FF"/>
                  <w:w w:val="95"/>
                </w:rPr>
                <w:t>(incorporated by reference to Exhibit 3.1 to the Company’s Current Report on Form 8-K, filed March 10, 2020).</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10.1</w:t>
            </w:r>
          </w:p>
        </w:tc>
        <w:tc>
          <w:tcPr>
            <w:tcW w:w="10260" w:type="dxa"/>
            <w:vAlign w:val="bottom"/>
            <w:gridSpan w:val="18"/>
          </w:tcPr>
          <w:p>
            <w:pPr>
              <w:spacing w:after="0"/>
              <w:rPr>
                <w:rFonts w:ascii="Arial" w:cs="Arial" w:eastAsia="Arial" w:hAnsi="Arial"/>
                <w:sz w:val="18"/>
                <w:szCs w:val="18"/>
                <w:color w:val="0000FF"/>
              </w:rPr>
            </w:pPr>
            <w:hyperlink r:id="rId55">
              <w:r>
                <w:rPr>
                  <w:rFonts w:ascii="Arial" w:cs="Arial" w:eastAsia="Arial" w:hAnsi="Arial"/>
                  <w:sz w:val="18"/>
                  <w:szCs w:val="18"/>
                  <w:color w:val="0000FF"/>
                </w:rPr>
                <w:t>Amended Inseego Corp. 2018 Omnibus Incentive Compensation Plan (incorporated by reference to Exhibit 10.1 to the</w:t>
              </w:r>
            </w:hyperlink>
          </w:p>
        </w:tc>
      </w:tr>
      <w:tr>
        <w:trPr>
          <w:trHeight w:val="155"/>
        </w:trPr>
        <w:tc>
          <w:tcPr>
            <w:tcW w:w="980" w:type="dxa"/>
            <w:vAlign w:val="bottom"/>
          </w:tcPr>
          <w:p>
            <w:pPr>
              <w:spacing w:after="0"/>
              <w:rPr>
                <w:sz w:val="13"/>
                <w:szCs w:val="13"/>
                <w:color w:val="auto"/>
              </w:rPr>
            </w:pPr>
          </w:p>
        </w:tc>
        <w:tc>
          <w:tcPr>
            <w:tcW w:w="85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55">
              <w:r>
                <w:rPr>
                  <w:rFonts w:ascii="Arial" w:cs="Arial" w:eastAsia="Arial" w:hAnsi="Arial"/>
                  <w:sz w:val="18"/>
                  <w:szCs w:val="18"/>
                  <w:color w:val="0000FF"/>
                </w:rPr>
                <w:t>Company’s Current Report on Form 8-K, filed July 30, 2021).</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10.2</w:t>
            </w:r>
          </w:p>
        </w:tc>
        <w:tc>
          <w:tcPr>
            <w:tcW w:w="10260" w:type="dxa"/>
            <w:vAlign w:val="bottom"/>
            <w:gridSpan w:val="18"/>
          </w:tcPr>
          <w:p>
            <w:pPr>
              <w:spacing w:after="0"/>
              <w:rPr>
                <w:rFonts w:ascii="Arial" w:cs="Arial" w:eastAsia="Arial" w:hAnsi="Arial"/>
                <w:sz w:val="18"/>
                <w:szCs w:val="18"/>
                <w:color w:val="0000FF"/>
              </w:rPr>
            </w:pPr>
            <w:hyperlink r:id="rId56">
              <w:r>
                <w:rPr>
                  <w:rFonts w:ascii="Arial" w:cs="Arial" w:eastAsia="Arial" w:hAnsi="Arial"/>
                  <w:sz w:val="18"/>
                  <w:szCs w:val="18"/>
                  <w:color w:val="0000FF"/>
                </w:rPr>
                <w:t>Independent Contractor Services Agreement, dated as of August 5, 2021(incorporated by reference to Exhibit 10.2 to the</w:t>
              </w:r>
            </w:hyperlink>
          </w:p>
        </w:tc>
      </w:tr>
      <w:tr>
        <w:trPr>
          <w:trHeight w:val="155"/>
        </w:trPr>
        <w:tc>
          <w:tcPr>
            <w:tcW w:w="980" w:type="dxa"/>
            <w:vAlign w:val="bottom"/>
          </w:tcPr>
          <w:p>
            <w:pPr>
              <w:spacing w:after="0"/>
              <w:rPr>
                <w:sz w:val="13"/>
                <w:szCs w:val="13"/>
                <w:color w:val="auto"/>
              </w:rPr>
            </w:pPr>
          </w:p>
        </w:tc>
        <w:tc>
          <w:tcPr>
            <w:tcW w:w="87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Company’s Quarterly Report on Form 10-Q, filed August 5, 2021).</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10.3</w:t>
            </w:r>
          </w:p>
        </w:tc>
        <w:tc>
          <w:tcPr>
            <w:tcW w:w="10260" w:type="dxa"/>
            <w:vAlign w:val="bottom"/>
            <w:gridSpan w:val="18"/>
          </w:tcPr>
          <w:p>
            <w:pPr>
              <w:spacing w:after="0"/>
              <w:rPr>
                <w:rFonts w:ascii="Arial" w:cs="Arial" w:eastAsia="Arial" w:hAnsi="Arial"/>
                <w:sz w:val="18"/>
                <w:szCs w:val="18"/>
                <w:color w:val="0000FF"/>
              </w:rPr>
            </w:pPr>
            <w:hyperlink r:id="rId57">
              <w:r>
                <w:rPr>
                  <w:rFonts w:ascii="Arial" w:cs="Arial" w:eastAsia="Arial" w:hAnsi="Arial"/>
                  <w:sz w:val="18"/>
                  <w:szCs w:val="18"/>
                  <w:color w:val="0000FF"/>
                </w:rPr>
                <w:t>Form of Exchange Agreement, dated September 3, between Inseego Corp. and certain investors holding the Company’s</w:t>
              </w:r>
            </w:hyperlink>
          </w:p>
        </w:tc>
      </w:tr>
      <w:tr>
        <w:trPr>
          <w:trHeight w:val="169"/>
        </w:trPr>
        <w:tc>
          <w:tcPr>
            <w:tcW w:w="980" w:type="dxa"/>
            <w:vAlign w:val="bottom"/>
          </w:tcPr>
          <w:p>
            <w:pPr>
              <w:spacing w:after="0"/>
              <w:rPr>
                <w:sz w:val="14"/>
                <w:szCs w:val="14"/>
                <w:color w:val="auto"/>
              </w:rPr>
            </w:pPr>
          </w:p>
        </w:tc>
        <w:tc>
          <w:tcPr>
            <w:tcW w:w="8620" w:type="dxa"/>
            <w:vAlign w:val="bottom"/>
            <w:tcBorders>
              <w:top w:val="single" w:sz="8" w:color="0000FF"/>
            </w:tcBorders>
            <w:gridSpan w:val="14"/>
          </w:tcPr>
          <w:p>
            <w:pPr>
              <w:spacing w:after="0" w:line="169"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Series E Fixed-Rate Cumulative Perpetual Preferred Stock (incorporated by reference to Exhibit 1.2 to the Company’s</w:t>
              </w:r>
            </w:hyperlink>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9"/>
        </w:trPr>
        <w:tc>
          <w:tcPr>
            <w:tcW w:w="98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Current Report on Form 8-K, filed September 3, 2021).</w:t>
              </w:r>
            </w:hyperlink>
          </w:p>
        </w:tc>
        <w:tc>
          <w:tcPr>
            <w:tcW w:w="4520" w:type="dxa"/>
            <w:vAlign w:val="bottom"/>
            <w:tcBorders>
              <w:top w:val="single" w:sz="8" w:color="0000FF"/>
            </w:tcBorders>
            <w:gridSpan w:val="10"/>
          </w:tcPr>
          <w:p>
            <w:pPr>
              <w:spacing w:after="0"/>
              <w:rPr>
                <w:sz w:val="14"/>
                <w:szCs w:val="14"/>
                <w:color w:val="auto"/>
              </w:rPr>
            </w:pPr>
          </w:p>
        </w:tc>
        <w:tc>
          <w:tcPr>
            <w:tcW w:w="2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23"/>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6000" w:type="dxa"/>
            <w:vAlign w:val="bottom"/>
            <w:tcBorders>
              <w:bottom w:val="single" w:sz="8" w:color="0000FF"/>
            </w:tcBorders>
            <w:gridSpan w:val="5"/>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Offer Letter dated October 13, 2021 between Inseego Corp. and Robert G. Barbieri</w:t>
              </w:r>
            </w:hyperlink>
          </w:p>
        </w:tc>
        <w:tc>
          <w:tcPr>
            <w:tcW w:w="4260" w:type="dxa"/>
            <w:vAlign w:val="bottom"/>
            <w:gridSpan w:val="13"/>
          </w:tcPr>
          <w:p>
            <w:pPr>
              <w:spacing w:after="0"/>
              <w:rPr>
                <w:sz w:val="19"/>
                <w:szCs w:val="19"/>
                <w:color w:val="auto"/>
              </w:rPr>
            </w:pPr>
          </w:p>
        </w:tc>
      </w:tr>
      <w:tr>
        <w:trPr>
          <w:trHeight w:val="223"/>
        </w:trPr>
        <w:tc>
          <w:tcPr>
            <w:tcW w:w="980" w:type="dxa"/>
            <w:vAlign w:val="bottom"/>
          </w:tcPr>
          <w:p>
            <w:pPr>
              <w:ind w:left="20"/>
              <w:spacing w:after="0"/>
              <w:rPr>
                <w:sz w:val="20"/>
                <w:szCs w:val="20"/>
                <w:color w:val="auto"/>
              </w:rPr>
            </w:pPr>
            <w:r>
              <w:rPr>
                <w:rFonts w:ascii="Arial" w:cs="Arial" w:eastAsia="Arial" w:hAnsi="Arial"/>
                <w:sz w:val="18"/>
                <w:szCs w:val="18"/>
                <w:color w:val="auto"/>
              </w:rPr>
              <w:t>10.5</w:t>
            </w:r>
          </w:p>
        </w:tc>
        <w:tc>
          <w:tcPr>
            <w:tcW w:w="7340" w:type="dxa"/>
            <w:vAlign w:val="bottom"/>
            <w:tcBorders>
              <w:bottom w:val="single" w:sz="8" w:color="0000FF"/>
            </w:tcBorders>
            <w:gridSpan w:val="7"/>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Form of Inducement Stock Option Agreement, by and between Inseego Corp. and Robert G. Barbieri.</w:t>
              </w:r>
            </w:hyperlink>
          </w:p>
        </w:tc>
        <w:tc>
          <w:tcPr>
            <w:tcW w:w="2920" w:type="dxa"/>
            <w:vAlign w:val="bottom"/>
            <w:gridSpan w:val="11"/>
          </w:tcPr>
          <w:p>
            <w:pPr>
              <w:spacing w:after="0"/>
              <w:rPr>
                <w:sz w:val="19"/>
                <w:szCs w:val="19"/>
                <w:color w:val="auto"/>
              </w:rPr>
            </w:pPr>
          </w:p>
        </w:tc>
      </w:tr>
      <w:tr>
        <w:trPr>
          <w:trHeight w:val="223"/>
        </w:trPr>
        <w:tc>
          <w:tcPr>
            <w:tcW w:w="980" w:type="dxa"/>
            <w:vAlign w:val="bottom"/>
          </w:tcPr>
          <w:p>
            <w:pPr>
              <w:ind w:left="20"/>
              <w:spacing w:after="0"/>
              <w:rPr>
                <w:sz w:val="20"/>
                <w:szCs w:val="20"/>
                <w:color w:val="auto"/>
              </w:rPr>
            </w:pPr>
            <w:r>
              <w:rPr>
                <w:rFonts w:ascii="Arial" w:cs="Arial" w:eastAsia="Arial" w:hAnsi="Arial"/>
                <w:sz w:val="18"/>
                <w:szCs w:val="18"/>
                <w:color w:val="auto"/>
              </w:rPr>
              <w:t>10.6</w:t>
            </w:r>
          </w:p>
        </w:tc>
        <w:tc>
          <w:tcPr>
            <w:tcW w:w="10260" w:type="dxa"/>
            <w:vAlign w:val="bottom"/>
            <w:gridSpan w:val="18"/>
          </w:tcPr>
          <w:p>
            <w:pPr>
              <w:spacing w:after="0"/>
              <w:rPr>
                <w:rFonts w:ascii="Arial" w:cs="Arial" w:eastAsia="Arial" w:hAnsi="Arial"/>
                <w:sz w:val="18"/>
                <w:szCs w:val="18"/>
                <w:color w:val="0000FF"/>
              </w:rPr>
            </w:pPr>
            <w:hyperlink r:id="rId60">
              <w:r>
                <w:rPr>
                  <w:rFonts w:ascii="Arial" w:cs="Arial" w:eastAsia="Arial" w:hAnsi="Arial"/>
                  <w:sz w:val="18"/>
                  <w:szCs w:val="18"/>
                  <w:color w:val="0000FF"/>
                </w:rPr>
                <w:t>Change in Control Agreement dated October 25, 2021 between Inseego Corp. and Robert G. Barbieri.</w:t>
              </w:r>
            </w:hyperlink>
          </w:p>
        </w:tc>
      </w:tr>
      <w:tr>
        <w:trPr>
          <w:trHeight w:val="223"/>
        </w:trPr>
        <w:tc>
          <w:tcPr>
            <w:tcW w:w="980" w:type="dxa"/>
            <w:vAlign w:val="bottom"/>
          </w:tcPr>
          <w:p>
            <w:pPr>
              <w:ind w:left="20"/>
              <w:spacing w:after="0"/>
              <w:rPr>
                <w:sz w:val="20"/>
                <w:szCs w:val="20"/>
                <w:color w:val="auto"/>
              </w:rPr>
            </w:pPr>
            <w:r>
              <w:rPr>
                <w:rFonts w:ascii="Arial" w:cs="Arial" w:eastAsia="Arial" w:hAnsi="Arial"/>
                <w:sz w:val="18"/>
                <w:szCs w:val="18"/>
                <w:color w:val="auto"/>
              </w:rPr>
              <w:t>10.7*</w:t>
            </w:r>
          </w:p>
        </w:tc>
        <w:tc>
          <w:tcPr>
            <w:tcW w:w="7340" w:type="dxa"/>
            <w:vAlign w:val="bottom"/>
            <w:tcBorders>
              <w:top w:val="single" w:sz="8" w:color="0000FF"/>
            </w:tcBorders>
            <w:gridSpan w:val="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 xml:space="preserve">Transition Agreement dated March 1, 2022 between Inseego Corp. and Dan </w:t>
              </w:r>
            </w:hyperlink>
            <w:r>
              <w:rPr>
                <w:rFonts w:ascii="Arial" w:cs="Arial" w:eastAsia="Arial" w:hAnsi="Arial"/>
                <w:sz w:val="18"/>
                <w:szCs w:val="18"/>
                <w:color w:val="0000FF"/>
              </w:rPr>
              <w:t>Mondor.</w:t>
            </w:r>
          </w:p>
        </w:tc>
        <w:tc>
          <w:tcPr>
            <w:tcW w:w="2920" w:type="dxa"/>
            <w:vAlign w:val="bottom"/>
            <w:gridSpan w:val="11"/>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020" w:type="dxa"/>
            <w:vAlign w:val="bottom"/>
            <w:gridSpan w:val="5"/>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31.1*</w:t>
            </w:r>
          </w:p>
        </w:tc>
        <w:tc>
          <w:tcPr>
            <w:tcW w:w="10260" w:type="dxa"/>
            <w:vAlign w:val="bottom"/>
            <w:gridSpan w:val="18"/>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Certification of our Principal Executive Officer adopted pursuant to Section 302 of the Sarbanes-Oxley Act of 2002.</w:t>
              </w:r>
            </w:hyperlink>
          </w:p>
        </w:tc>
      </w:tr>
      <w:tr>
        <w:trPr>
          <w:trHeight w:val="331"/>
        </w:trPr>
        <w:tc>
          <w:tcPr>
            <w:tcW w:w="980" w:type="dxa"/>
            <w:vAlign w:val="bottom"/>
          </w:tcPr>
          <w:p>
            <w:pPr>
              <w:ind w:left="20"/>
              <w:spacing w:after="0"/>
              <w:rPr>
                <w:sz w:val="20"/>
                <w:szCs w:val="20"/>
                <w:color w:val="auto"/>
              </w:rPr>
            </w:pPr>
            <w:r>
              <w:rPr>
                <w:rFonts w:ascii="Arial" w:cs="Arial" w:eastAsia="Arial" w:hAnsi="Arial"/>
                <w:sz w:val="18"/>
                <w:szCs w:val="18"/>
                <w:color w:val="auto"/>
              </w:rPr>
              <w:t>31.2*</w:t>
            </w:r>
          </w:p>
        </w:tc>
        <w:tc>
          <w:tcPr>
            <w:tcW w:w="834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Certification of our Principal Financial Officer adopted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1880" w:type="dxa"/>
            <w:vAlign w:val="bottom"/>
            <w:gridSpan w:val="8"/>
          </w:tcPr>
          <w:p>
            <w:pPr>
              <w:spacing w:after="0"/>
              <w:rPr>
                <w:sz w:val="24"/>
                <w:szCs w:val="24"/>
                <w:color w:val="auto"/>
              </w:rPr>
            </w:pPr>
          </w:p>
        </w:tc>
      </w:tr>
      <w:tr>
        <w:trPr>
          <w:trHeight w:val="331"/>
        </w:trPr>
        <w:tc>
          <w:tcPr>
            <w:tcW w:w="980" w:type="dxa"/>
            <w:vAlign w:val="bottom"/>
          </w:tcPr>
          <w:p>
            <w:pPr>
              <w:ind w:left="20"/>
              <w:spacing w:after="0"/>
              <w:rPr>
                <w:sz w:val="20"/>
                <w:szCs w:val="20"/>
                <w:color w:val="auto"/>
              </w:rPr>
            </w:pPr>
            <w:r>
              <w:rPr>
                <w:rFonts w:ascii="Arial" w:cs="Arial" w:eastAsia="Arial" w:hAnsi="Arial"/>
                <w:sz w:val="18"/>
                <w:szCs w:val="18"/>
                <w:color w:val="auto"/>
              </w:rPr>
              <w:t>32.1#</w:t>
            </w:r>
          </w:p>
        </w:tc>
        <w:tc>
          <w:tcPr>
            <w:tcW w:w="10260" w:type="dxa"/>
            <w:vAlign w:val="bottom"/>
            <w:gridSpan w:val="1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of Principal Executive Officer pursuant to 18 U.S.C. Section 1350, as adopted pursuant to Section 906 of the</w:t>
              </w:r>
            </w:hyperlink>
          </w:p>
        </w:tc>
      </w:tr>
      <w:tr>
        <w:trPr>
          <w:trHeight w:val="169"/>
        </w:trPr>
        <w:tc>
          <w:tcPr>
            <w:tcW w:w="980" w:type="dxa"/>
            <w:vAlign w:val="bottom"/>
          </w:tcPr>
          <w:p>
            <w:pPr>
              <w:spacing w:after="0"/>
              <w:rPr>
                <w:sz w:val="14"/>
                <w:szCs w:val="14"/>
                <w:color w:val="auto"/>
              </w:rPr>
            </w:pPr>
          </w:p>
        </w:tc>
        <w:tc>
          <w:tcPr>
            <w:tcW w:w="878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w:anchor="page42">
              <w:r>
                <w:rPr>
                  <w:rFonts w:ascii="Arial" w:cs="Arial" w:eastAsia="Arial" w:hAnsi="Arial"/>
                  <w:sz w:val="18"/>
                  <w:szCs w:val="18"/>
                  <w:color w:val="0000FF"/>
                </w:rPr>
                <w:t>Sarbanes-Oxley Act of 2002.</w:t>
              </w:r>
            </w:hyperlink>
          </w:p>
        </w:tc>
        <w:tc>
          <w:tcPr>
            <w:tcW w:w="1480" w:type="dxa"/>
            <w:vAlign w:val="bottom"/>
          </w:tcPr>
          <w:p>
            <w:pPr>
              <w:spacing w:after="0"/>
              <w:rPr>
                <w:sz w:val="14"/>
                <w:szCs w:val="14"/>
                <w:color w:val="auto"/>
              </w:rPr>
            </w:pPr>
          </w:p>
        </w:tc>
      </w:tr>
      <w:tr>
        <w:trPr>
          <w:trHeight w:val="20"/>
        </w:trPr>
        <w:tc>
          <w:tcPr>
            <w:tcW w:w="98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640" w:type="dxa"/>
            <w:vAlign w:val="bottom"/>
            <w:gridSpan w:val="15"/>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331"/>
        </w:trPr>
        <w:tc>
          <w:tcPr>
            <w:tcW w:w="980" w:type="dxa"/>
            <w:vAlign w:val="bottom"/>
          </w:tcPr>
          <w:p>
            <w:pPr>
              <w:ind w:left="20"/>
              <w:spacing w:after="0"/>
              <w:rPr>
                <w:sz w:val="20"/>
                <w:szCs w:val="20"/>
                <w:color w:val="auto"/>
              </w:rPr>
            </w:pPr>
            <w:r>
              <w:rPr>
                <w:rFonts w:ascii="Arial" w:cs="Arial" w:eastAsia="Arial" w:hAnsi="Arial"/>
                <w:sz w:val="18"/>
                <w:szCs w:val="18"/>
                <w:color w:val="auto"/>
              </w:rPr>
              <w:t>32.2#</w:t>
            </w:r>
          </w:p>
        </w:tc>
        <w:tc>
          <w:tcPr>
            <w:tcW w:w="10260" w:type="dxa"/>
            <w:vAlign w:val="bottom"/>
            <w:gridSpan w:val="18"/>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of Principal Financial Officer pursuant to 18 U.S.C. Section 1350, as adopted pursuant to Section 906 of the</w:t>
              </w:r>
            </w:hyperlink>
          </w:p>
        </w:tc>
      </w:tr>
      <w:tr>
        <w:trPr>
          <w:trHeight w:val="169"/>
        </w:trPr>
        <w:tc>
          <w:tcPr>
            <w:tcW w:w="980" w:type="dxa"/>
            <w:vAlign w:val="bottom"/>
          </w:tcPr>
          <w:p>
            <w:pPr>
              <w:spacing w:after="0"/>
              <w:rPr>
                <w:sz w:val="14"/>
                <w:szCs w:val="14"/>
                <w:color w:val="auto"/>
              </w:rPr>
            </w:pPr>
          </w:p>
        </w:tc>
        <w:tc>
          <w:tcPr>
            <w:tcW w:w="874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w:anchor="page43">
              <w:r>
                <w:rPr>
                  <w:rFonts w:ascii="Arial" w:cs="Arial" w:eastAsia="Arial" w:hAnsi="Arial"/>
                  <w:sz w:val="18"/>
                  <w:szCs w:val="18"/>
                  <w:color w:val="0000FF"/>
                </w:rPr>
                <w:t>Sarbanes-Oxley Act of 2002.</w:t>
              </w:r>
            </w:hyperlink>
          </w:p>
        </w:tc>
        <w:tc>
          <w:tcPr>
            <w:tcW w:w="1520" w:type="dxa"/>
            <w:vAlign w:val="bottom"/>
            <w:gridSpan w:val="2"/>
          </w:tcPr>
          <w:p>
            <w:pPr>
              <w:spacing w:after="0"/>
              <w:rPr>
                <w:sz w:val="14"/>
                <w:szCs w:val="14"/>
                <w:color w:val="auto"/>
              </w:rPr>
            </w:pPr>
          </w:p>
        </w:tc>
      </w:tr>
      <w:tr>
        <w:trPr>
          <w:trHeight w:val="20"/>
        </w:trPr>
        <w:tc>
          <w:tcPr>
            <w:tcW w:w="98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160" w:type="dxa"/>
            <w:vAlign w:val="bottom"/>
            <w:gridSpan w:val="17"/>
          </w:tcPr>
          <w:p>
            <w:pPr>
              <w:spacing w:after="0" w:line="20" w:lineRule="exact"/>
              <w:rPr>
                <w:sz w:val="1"/>
                <w:szCs w:val="1"/>
                <w:color w:val="auto"/>
              </w:rPr>
            </w:pPr>
          </w:p>
        </w:tc>
      </w:tr>
      <w:tr>
        <w:trPr>
          <w:trHeight w:val="330"/>
        </w:trPr>
        <w:tc>
          <w:tcPr>
            <w:tcW w:w="980" w:type="dxa"/>
            <w:vAlign w:val="bottom"/>
          </w:tcPr>
          <w:p>
            <w:pPr>
              <w:ind w:left="20"/>
              <w:spacing w:after="0"/>
              <w:rPr>
                <w:sz w:val="20"/>
                <w:szCs w:val="20"/>
                <w:color w:val="auto"/>
              </w:rPr>
            </w:pPr>
            <w:r>
              <w:rPr>
                <w:rFonts w:ascii="Arial" w:cs="Arial" w:eastAsia="Arial" w:hAnsi="Arial"/>
                <w:sz w:val="18"/>
                <w:szCs w:val="18"/>
                <w:color w:val="auto"/>
              </w:rPr>
              <w:t>101.INS</w:t>
            </w:r>
          </w:p>
        </w:tc>
        <w:tc>
          <w:tcPr>
            <w:tcW w:w="10260" w:type="dxa"/>
            <w:vAlign w:val="bottom"/>
            <w:gridSpan w:val="18"/>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30"/>
        </w:trPr>
        <w:tc>
          <w:tcPr>
            <w:tcW w:w="980" w:type="dxa"/>
            <w:vAlign w:val="bottom"/>
          </w:tcPr>
          <w:p>
            <w:pPr>
              <w:spacing w:after="0"/>
              <w:rPr>
                <w:sz w:val="20"/>
                <w:szCs w:val="20"/>
                <w:color w:val="auto"/>
              </w:rPr>
            </w:pPr>
          </w:p>
        </w:tc>
        <w:tc>
          <w:tcPr>
            <w:tcW w:w="10260" w:type="dxa"/>
            <w:vAlign w:val="bottom"/>
            <w:gridSpan w:val="18"/>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351"/>
        </w:trPr>
        <w:tc>
          <w:tcPr>
            <w:tcW w:w="980" w:type="dxa"/>
            <w:vAlign w:val="bottom"/>
          </w:tcPr>
          <w:p>
            <w:pPr>
              <w:ind w:left="20"/>
              <w:spacing w:after="0"/>
              <w:rPr>
                <w:sz w:val="20"/>
                <w:szCs w:val="20"/>
                <w:color w:val="auto"/>
              </w:rPr>
            </w:pPr>
            <w:r>
              <w:rPr>
                <w:rFonts w:ascii="Arial" w:cs="Arial" w:eastAsia="Arial" w:hAnsi="Arial"/>
                <w:sz w:val="18"/>
                <w:szCs w:val="18"/>
                <w:color w:val="auto"/>
              </w:rPr>
              <w:t>101.SCH</w:t>
            </w:r>
          </w:p>
        </w:tc>
        <w:tc>
          <w:tcPr>
            <w:tcW w:w="1026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51"/>
        </w:trPr>
        <w:tc>
          <w:tcPr>
            <w:tcW w:w="980" w:type="dxa"/>
            <w:vAlign w:val="bottom"/>
          </w:tcPr>
          <w:p>
            <w:pPr>
              <w:ind w:left="20"/>
              <w:spacing w:after="0"/>
              <w:rPr>
                <w:sz w:val="20"/>
                <w:szCs w:val="20"/>
                <w:color w:val="auto"/>
              </w:rPr>
            </w:pPr>
            <w:r>
              <w:rPr>
                <w:rFonts w:ascii="Arial" w:cs="Arial" w:eastAsia="Arial" w:hAnsi="Arial"/>
                <w:sz w:val="18"/>
                <w:szCs w:val="18"/>
                <w:color w:val="auto"/>
              </w:rPr>
              <w:t>101.CAL</w:t>
            </w:r>
          </w:p>
        </w:tc>
        <w:tc>
          <w:tcPr>
            <w:tcW w:w="1026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51"/>
        </w:trPr>
        <w:tc>
          <w:tcPr>
            <w:tcW w:w="980" w:type="dxa"/>
            <w:vAlign w:val="bottom"/>
          </w:tcPr>
          <w:p>
            <w:pPr>
              <w:ind w:left="20"/>
              <w:spacing w:after="0"/>
              <w:rPr>
                <w:sz w:val="20"/>
                <w:szCs w:val="20"/>
                <w:color w:val="auto"/>
              </w:rPr>
            </w:pPr>
            <w:r>
              <w:rPr>
                <w:rFonts w:ascii="Arial" w:cs="Arial" w:eastAsia="Arial" w:hAnsi="Arial"/>
                <w:sz w:val="18"/>
                <w:szCs w:val="18"/>
                <w:color w:val="auto"/>
              </w:rPr>
              <w:t>101.DEF</w:t>
            </w:r>
          </w:p>
        </w:tc>
        <w:tc>
          <w:tcPr>
            <w:tcW w:w="1026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918"/>
        </w:trPr>
        <w:tc>
          <w:tcPr>
            <w:tcW w:w="980" w:type="dxa"/>
            <w:vAlign w:val="bottom"/>
          </w:tcPr>
          <w:p>
            <w:pPr>
              <w:spacing w:after="0"/>
              <w:rPr>
                <w:sz w:val="24"/>
                <w:szCs w:val="24"/>
                <w:color w:val="auto"/>
              </w:rPr>
            </w:pPr>
          </w:p>
        </w:tc>
        <w:tc>
          <w:tcPr>
            <w:tcW w:w="4840" w:type="dxa"/>
            <w:vAlign w:val="bottom"/>
            <w:gridSpan w:val="4"/>
          </w:tcPr>
          <w:p>
            <w:pPr>
              <w:ind w:left="4560"/>
              <w:spacing w:after="0"/>
              <w:rPr>
                <w:sz w:val="20"/>
                <w:szCs w:val="20"/>
                <w:color w:val="auto"/>
              </w:rPr>
            </w:pPr>
            <w:r>
              <w:rPr>
                <w:rFonts w:ascii="Arial" w:cs="Arial" w:eastAsia="Arial" w:hAnsi="Arial"/>
                <w:sz w:val="18"/>
                <w:szCs w:val="18"/>
                <w:color w:val="auto"/>
              </w:rPr>
              <w:t>34</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4" w:name="page35"/>
    <w:bookmarkEnd w:id="34"/>
    <w:p>
      <w:pPr>
        <w:spacing w:after="0"/>
        <w:tabs>
          <w:tab w:leader="none" w:pos="9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62147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ectPr>
          <w:pgSz w:w="11900" w:h="16838" w:orient="portrait"/>
          <w:cols w:equalWidth="0" w:num="1">
            <w:col w:w="10119"/>
          </w:cols>
          <w:pgMar w:left="340" w:top="1021" w:right="1440" w:bottom="1440" w:gutter="0" w:footer="0" w:header="0"/>
        </w:sectPr>
      </w:pP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6720" w:type="dxa"/>
            <w:vAlign w:val="bottom"/>
          </w:tcPr>
          <w:p>
            <w:pPr>
              <w:ind w:left="1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51"/>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6720" w:type="dxa"/>
            <w:vAlign w:val="bottom"/>
          </w:tcPr>
          <w:p>
            <w:pPr>
              <w:ind w:left="14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97"/>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6720" w:type="dxa"/>
            <w:vAlign w:val="bottom"/>
          </w:tcPr>
          <w:p>
            <w:pPr>
              <w:ind w:left="140"/>
              <w:spacing w:after="0"/>
              <w:rPr>
                <w:sz w:val="20"/>
                <w:szCs w:val="20"/>
                <w:color w:val="auto"/>
              </w:rPr>
            </w:pPr>
            <w:r>
              <w:rPr>
                <w:rFonts w:ascii="Arial" w:cs="Arial" w:eastAsia="Arial" w:hAnsi="Arial"/>
                <w:sz w:val="18"/>
                <w:szCs w:val="18"/>
                <w:color w:val="auto"/>
                <w:w w:val="92"/>
              </w:rPr>
              <w:t>Cover Page Interactive Data File (formatted as inline XBRL and contained in Exhibit 101).</w:t>
            </w:r>
          </w:p>
        </w:tc>
      </w:tr>
    </w:tbl>
    <w:p>
      <w:pPr>
        <w:spacing w:after="0" w:line="53" w:lineRule="exact"/>
        <w:rPr>
          <w:sz w:val="20"/>
          <w:szCs w:val="20"/>
          <w:color w:val="auto"/>
        </w:rPr>
      </w:pPr>
    </w:p>
    <w:p>
      <w:pPr>
        <w:ind w:left="960" w:hanging="95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960" w:hanging="95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21" w:right="1440" w:bottom="1440" w:gutter="0" w:footer="0" w:header="0"/>
          <w:type w:val="continuous"/>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Date: May 4, 2022</w:t>
            </w:r>
          </w:p>
        </w:tc>
        <w:tc>
          <w:tcPr>
            <w:tcW w:w="3920" w:type="dxa"/>
            <w:vAlign w:val="bottom"/>
            <w:gridSpan w:val="2"/>
          </w:tcPr>
          <w:p>
            <w:pPr>
              <w:ind w:left="2600"/>
              <w:spacing w:after="0"/>
              <w:rPr>
                <w:sz w:val="20"/>
                <w:szCs w:val="20"/>
                <w:color w:val="auto"/>
              </w:rPr>
            </w:pPr>
            <w:r>
              <w:rPr>
                <w:rFonts w:ascii="Arial" w:cs="Arial" w:eastAsia="Arial" w:hAnsi="Arial"/>
                <w:sz w:val="18"/>
                <w:szCs w:val="18"/>
                <w:color w:val="auto"/>
              </w:rPr>
              <w:t>Inseego Corp.</w:t>
            </w:r>
          </w:p>
        </w:tc>
        <w:tc>
          <w:tcPr>
            <w:tcW w:w="64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83"/>
        </w:trPr>
        <w:tc>
          <w:tcPr>
            <w:tcW w:w="3960" w:type="dxa"/>
            <w:vAlign w:val="bottom"/>
          </w:tcPr>
          <w:p>
            <w:pPr>
              <w:spacing w:after="0"/>
              <w:rPr>
                <w:sz w:val="24"/>
                <w:szCs w:val="24"/>
                <w:color w:val="auto"/>
              </w:rPr>
            </w:pPr>
          </w:p>
        </w:tc>
        <w:tc>
          <w:tcPr>
            <w:tcW w:w="3920" w:type="dxa"/>
            <w:vAlign w:val="bottom"/>
            <w:gridSpan w:val="2"/>
          </w:tcPr>
          <w:p>
            <w:pPr>
              <w:ind w:left="2600"/>
              <w:spacing w:after="0"/>
              <w:rPr>
                <w:sz w:val="20"/>
                <w:szCs w:val="20"/>
                <w:color w:val="auto"/>
              </w:rPr>
            </w:pPr>
            <w:r>
              <w:rPr>
                <w:rFonts w:ascii="Arial" w:cs="Arial" w:eastAsia="Arial" w:hAnsi="Arial"/>
                <w:sz w:val="18"/>
                <w:szCs w:val="18"/>
                <w:color w:val="auto"/>
              </w:rPr>
              <w:t>By:</w:t>
            </w:r>
          </w:p>
        </w:tc>
        <w:tc>
          <w:tcPr>
            <w:tcW w:w="640" w:type="dxa"/>
            <w:vAlign w:val="bottom"/>
          </w:tcPr>
          <w:p>
            <w:pPr>
              <w:ind w:left="480"/>
              <w:spacing w:after="0"/>
              <w:rPr>
                <w:sz w:val="20"/>
                <w:szCs w:val="20"/>
                <w:color w:val="auto"/>
              </w:rPr>
            </w:pPr>
            <w:r>
              <w:rPr>
                <w:rFonts w:ascii="Arial" w:cs="Arial" w:eastAsia="Arial" w:hAnsi="Arial"/>
                <w:sz w:val="16"/>
                <w:szCs w:val="16"/>
                <w:color w:val="auto"/>
                <w:w w:val="82"/>
              </w:rPr>
              <w:t>/s/</w:t>
            </w:r>
          </w:p>
        </w:tc>
        <w:tc>
          <w:tcPr>
            <w:tcW w:w="2660" w:type="dxa"/>
            <w:vAlign w:val="bottom"/>
          </w:tcPr>
          <w:p>
            <w:pPr>
              <w:jc w:val="center"/>
              <w:ind w:right="944"/>
              <w:spacing w:after="0"/>
              <w:rPr>
                <w:sz w:val="20"/>
                <w:szCs w:val="20"/>
                <w:color w:val="auto"/>
              </w:rPr>
            </w:pPr>
            <w:r>
              <w:rPr>
                <w:rFonts w:ascii="Arial" w:cs="Arial" w:eastAsia="Arial" w:hAnsi="Arial"/>
                <w:sz w:val="16"/>
                <w:szCs w:val="16"/>
                <w:color w:val="auto"/>
                <w:w w:val="99"/>
              </w:rPr>
              <w:t>ASHISH SHARMA</w:t>
            </w:r>
          </w:p>
        </w:tc>
      </w:tr>
      <w:tr>
        <w:trPr>
          <w:trHeight w:val="173"/>
        </w:trPr>
        <w:tc>
          <w:tcPr>
            <w:tcW w:w="39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tcPr>
          <w:p>
            <w:pPr>
              <w:jc w:val="center"/>
              <w:ind w:right="1284"/>
              <w:spacing w:after="0"/>
              <w:rPr>
                <w:sz w:val="20"/>
                <w:szCs w:val="20"/>
                <w:color w:val="auto"/>
              </w:rPr>
            </w:pPr>
            <w:r>
              <w:rPr>
                <w:rFonts w:ascii="Arial" w:cs="Arial" w:eastAsia="Arial" w:hAnsi="Arial"/>
                <w:sz w:val="14"/>
                <w:szCs w:val="14"/>
                <w:b w:val="1"/>
                <w:bCs w:val="1"/>
                <w:color w:val="auto"/>
                <w:w w:val="92"/>
              </w:rPr>
              <w:t>Ashish Sharma</w:t>
            </w:r>
          </w:p>
        </w:tc>
      </w:tr>
      <w:tr>
        <w:trPr>
          <w:trHeight w:val="186"/>
        </w:trPr>
        <w:tc>
          <w:tcPr>
            <w:tcW w:w="39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300" w:type="dxa"/>
            <w:vAlign w:val="bottom"/>
            <w:gridSpan w:val="2"/>
          </w:tcPr>
          <w:p>
            <w:pPr>
              <w:jc w:val="center"/>
              <w:ind w:right="624"/>
              <w:spacing w:after="0"/>
              <w:rPr>
                <w:sz w:val="20"/>
                <w:szCs w:val="20"/>
                <w:color w:val="auto"/>
              </w:rPr>
            </w:pPr>
            <w:r>
              <w:rPr>
                <w:rFonts w:ascii="Arial" w:cs="Arial" w:eastAsia="Arial" w:hAnsi="Arial"/>
                <w:sz w:val="14"/>
                <w:szCs w:val="14"/>
                <w:b w:val="1"/>
                <w:bCs w:val="1"/>
                <w:color w:val="auto"/>
                <w:w w:val="93"/>
              </w:rPr>
              <w:t>Chief Executive Officer</w:t>
            </w:r>
          </w:p>
        </w:tc>
      </w:tr>
      <w:tr>
        <w:trPr>
          <w:trHeight w:val="633"/>
        </w:trPr>
        <w:tc>
          <w:tcPr>
            <w:tcW w:w="3960" w:type="dxa"/>
            <w:vAlign w:val="bottom"/>
          </w:tcPr>
          <w:p>
            <w:pPr>
              <w:spacing w:after="0"/>
              <w:rPr>
                <w:sz w:val="24"/>
                <w:szCs w:val="24"/>
                <w:color w:val="auto"/>
              </w:rPr>
            </w:pPr>
          </w:p>
        </w:tc>
        <w:tc>
          <w:tcPr>
            <w:tcW w:w="3920" w:type="dxa"/>
            <w:vAlign w:val="bottom"/>
            <w:gridSpan w:val="2"/>
          </w:tcPr>
          <w:p>
            <w:pPr>
              <w:ind w:left="2600"/>
              <w:spacing w:after="0"/>
              <w:rPr>
                <w:sz w:val="20"/>
                <w:szCs w:val="20"/>
                <w:color w:val="auto"/>
              </w:rPr>
            </w:pPr>
            <w:r>
              <w:rPr>
                <w:rFonts w:ascii="Arial" w:cs="Arial" w:eastAsia="Arial" w:hAnsi="Arial"/>
                <w:sz w:val="18"/>
                <w:szCs w:val="18"/>
                <w:color w:val="auto"/>
              </w:rPr>
              <w:t>By:</w:t>
            </w:r>
          </w:p>
        </w:tc>
        <w:tc>
          <w:tcPr>
            <w:tcW w:w="640" w:type="dxa"/>
            <w:vAlign w:val="bottom"/>
          </w:tcPr>
          <w:p>
            <w:pPr>
              <w:ind w:left="320"/>
              <w:spacing w:after="0"/>
              <w:rPr>
                <w:sz w:val="20"/>
                <w:szCs w:val="20"/>
                <w:color w:val="auto"/>
              </w:rPr>
            </w:pPr>
            <w:r>
              <w:rPr>
                <w:rFonts w:ascii="Arial" w:cs="Arial" w:eastAsia="Arial" w:hAnsi="Arial"/>
                <w:sz w:val="16"/>
                <w:szCs w:val="16"/>
                <w:color w:val="auto"/>
              </w:rPr>
              <w:t>/s/</w:t>
            </w:r>
          </w:p>
        </w:tc>
        <w:tc>
          <w:tcPr>
            <w:tcW w:w="2660" w:type="dxa"/>
            <w:vAlign w:val="bottom"/>
          </w:tcPr>
          <w:p>
            <w:pPr>
              <w:jc w:val="center"/>
              <w:ind w:right="964"/>
              <w:spacing w:after="0"/>
              <w:rPr>
                <w:sz w:val="20"/>
                <w:szCs w:val="20"/>
                <w:color w:val="auto"/>
              </w:rPr>
            </w:pPr>
            <w:r>
              <w:rPr>
                <w:rFonts w:ascii="Arial" w:cs="Arial" w:eastAsia="Arial" w:hAnsi="Arial"/>
                <w:sz w:val="16"/>
                <w:szCs w:val="16"/>
                <w:color w:val="auto"/>
                <w:w w:val="96"/>
              </w:rPr>
              <w:t>ROBERT G. BARBIERI</w:t>
            </w:r>
          </w:p>
        </w:tc>
      </w:tr>
      <w:tr>
        <w:trPr>
          <w:trHeight w:val="173"/>
        </w:trPr>
        <w:tc>
          <w:tcPr>
            <w:tcW w:w="39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tcPr>
          <w:p>
            <w:pPr>
              <w:jc w:val="center"/>
              <w:ind w:right="1284"/>
              <w:spacing w:after="0"/>
              <w:rPr>
                <w:sz w:val="20"/>
                <w:szCs w:val="20"/>
                <w:color w:val="auto"/>
              </w:rPr>
            </w:pPr>
            <w:r>
              <w:rPr>
                <w:rFonts w:ascii="Arial" w:cs="Arial" w:eastAsia="Arial" w:hAnsi="Arial"/>
                <w:sz w:val="14"/>
                <w:szCs w:val="14"/>
                <w:b w:val="1"/>
                <w:bCs w:val="1"/>
                <w:color w:val="auto"/>
                <w:w w:val="97"/>
              </w:rPr>
              <w:t>Robert G. Barbieri</w:t>
            </w:r>
          </w:p>
        </w:tc>
      </w:tr>
      <w:tr>
        <w:trPr>
          <w:trHeight w:val="186"/>
        </w:trPr>
        <w:tc>
          <w:tcPr>
            <w:tcW w:w="39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300" w:type="dxa"/>
            <w:vAlign w:val="bottom"/>
            <w:gridSpan w:val="2"/>
          </w:tcPr>
          <w:p>
            <w:pPr>
              <w:jc w:val="center"/>
              <w:ind w:right="644"/>
              <w:spacing w:after="0"/>
              <w:rPr>
                <w:sz w:val="20"/>
                <w:szCs w:val="20"/>
                <w:color w:val="auto"/>
              </w:rPr>
            </w:pPr>
            <w:r>
              <w:rPr>
                <w:rFonts w:ascii="Arial" w:cs="Arial" w:eastAsia="Arial" w:hAnsi="Arial"/>
                <w:sz w:val="14"/>
                <w:szCs w:val="14"/>
                <w:b w:val="1"/>
                <w:bCs w:val="1"/>
                <w:color w:val="auto"/>
                <w:w w:val="95"/>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891" w:right="37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212121"/>
        </w:rPr>
        <w:t>TRANSITION AGREEMENT</w:t>
      </w:r>
    </w:p>
    <w:p>
      <w:pPr>
        <w:spacing w:after="0" w:line="225" w:lineRule="exact"/>
        <w:rPr>
          <w:sz w:val="20"/>
          <w:szCs w:val="20"/>
          <w:color w:val="auto"/>
        </w:rPr>
      </w:pPr>
    </w:p>
    <w:p>
      <w:pPr>
        <w:ind w:right="780" w:firstLine="852"/>
        <w:spacing w:after="0" w:line="246" w:lineRule="auto"/>
        <w:rPr>
          <w:sz w:val="20"/>
          <w:szCs w:val="20"/>
          <w:color w:val="auto"/>
        </w:rPr>
      </w:pPr>
      <w:r>
        <w:rPr>
          <w:rFonts w:ascii="Arial" w:cs="Arial" w:eastAsia="Arial" w:hAnsi="Arial"/>
          <w:sz w:val="18"/>
          <w:szCs w:val="18"/>
          <w:color w:val="212121"/>
        </w:rPr>
        <w:t>This Transition Agreement ("Agreement"), dated as of March 1, 2022 is made and entered into by and between lnseego Corp., and its subsidiaries ("lnseego" or the "Company")</w:t>
      </w:r>
      <w:r>
        <w:rPr>
          <w:rFonts w:ascii="Arial" w:cs="Arial" w:eastAsia="Arial" w:hAnsi="Arial"/>
          <w:sz w:val="18"/>
          <w:szCs w:val="18"/>
          <w:color w:val="444241"/>
        </w:rPr>
        <w:t>,</w:t>
      </w:r>
      <w:r>
        <w:rPr>
          <w:rFonts w:ascii="Arial" w:cs="Arial" w:eastAsia="Arial" w:hAnsi="Arial"/>
          <w:sz w:val="18"/>
          <w:szCs w:val="18"/>
          <w:color w:val="212121"/>
        </w:rPr>
        <w:t xml:space="preserve"> and Dan Mondor ("Executive").</w:t>
      </w:r>
    </w:p>
    <w:p>
      <w:pPr>
        <w:spacing w:after="0" w:line="197" w:lineRule="exact"/>
        <w:rPr>
          <w:sz w:val="20"/>
          <w:szCs w:val="20"/>
          <w:color w:val="auto"/>
        </w:rPr>
      </w:pPr>
    </w:p>
    <w:p>
      <w:pPr>
        <w:ind w:left="6940"/>
        <w:spacing w:after="0"/>
        <w:rPr>
          <w:sz w:val="20"/>
          <w:szCs w:val="20"/>
          <w:color w:val="auto"/>
        </w:rPr>
      </w:pPr>
      <w:r>
        <w:rPr>
          <w:rFonts w:ascii="Arial" w:cs="Arial" w:eastAsia="Arial" w:hAnsi="Arial"/>
          <w:sz w:val="18"/>
          <w:szCs w:val="18"/>
          <w:u w:val="single" w:color="auto"/>
          <w:color w:val="212121"/>
        </w:rPr>
        <w:t>Recitals</w:t>
      </w:r>
    </w:p>
    <w:p>
      <w:pPr>
        <w:spacing w:after="0" w:line="225" w:lineRule="exact"/>
        <w:rPr>
          <w:sz w:val="20"/>
          <w:szCs w:val="20"/>
          <w:color w:val="auto"/>
        </w:rPr>
      </w:pPr>
    </w:p>
    <w:p>
      <w:pPr>
        <w:ind w:left="660" w:hanging="328"/>
        <w:spacing w:after="0" w:line="235" w:lineRule="auto"/>
        <w:tabs>
          <w:tab w:leader="none" w:pos="659" w:val="left"/>
        </w:tabs>
        <w:numPr>
          <w:ilvl w:val="0"/>
          <w:numId w:val="9"/>
        </w:numPr>
        <w:rPr>
          <w:rFonts w:ascii="Arial" w:cs="Arial" w:eastAsia="Arial" w:hAnsi="Arial"/>
          <w:sz w:val="18"/>
          <w:szCs w:val="18"/>
          <w:color w:val="auto"/>
        </w:rPr>
      </w:pPr>
      <w:r>
        <w:rPr>
          <w:rFonts w:ascii="Arial" w:cs="Arial" w:eastAsia="Arial" w:hAnsi="Arial"/>
          <w:sz w:val="18"/>
          <w:szCs w:val="18"/>
          <w:color w:val="212121"/>
        </w:rPr>
        <w:t>Executive and lnseego have mutually agreed that Executive's appointment as Chief Executive Officer of the Company shall end effective as of March 1</w:t>
      </w:r>
      <w:r>
        <w:rPr>
          <w:rFonts w:ascii="Arial" w:cs="Arial" w:eastAsia="Arial" w:hAnsi="Arial"/>
          <w:sz w:val="18"/>
          <w:szCs w:val="18"/>
          <w:color w:val="444241"/>
        </w:rPr>
        <w:t>,</w:t>
      </w:r>
      <w:r>
        <w:rPr>
          <w:rFonts w:ascii="Arial" w:cs="Arial" w:eastAsia="Arial" w:hAnsi="Arial"/>
          <w:sz w:val="18"/>
          <w:szCs w:val="18"/>
          <w:color w:val="212121"/>
        </w:rPr>
        <w:t xml:space="preserve"> 2022 (the </w:t>
      </w:r>
      <w:r>
        <w:rPr>
          <w:rFonts w:ascii="Arial" w:cs="Arial" w:eastAsia="Arial" w:hAnsi="Arial"/>
          <w:sz w:val="18"/>
          <w:szCs w:val="18"/>
          <w:u w:val="single" w:color="auto"/>
          <w:color w:val="212121"/>
        </w:rPr>
        <w:t>"Effective Date")</w:t>
      </w:r>
      <w:r>
        <w:rPr>
          <w:rFonts w:ascii="Arial" w:cs="Arial" w:eastAsia="Arial" w:hAnsi="Arial"/>
          <w:sz w:val="18"/>
          <w:szCs w:val="18"/>
          <w:color w:val="212121"/>
        </w:rPr>
        <w:t>.</w:t>
      </w:r>
    </w:p>
    <w:p>
      <w:pPr>
        <w:spacing w:after="0" w:line="188" w:lineRule="exact"/>
        <w:rPr>
          <w:rFonts w:ascii="Arial" w:cs="Arial" w:eastAsia="Arial" w:hAnsi="Arial"/>
          <w:sz w:val="18"/>
          <w:szCs w:val="18"/>
          <w:color w:val="auto"/>
        </w:rPr>
      </w:pPr>
    </w:p>
    <w:p>
      <w:pPr>
        <w:jc w:val="both"/>
        <w:ind w:left="660" w:hanging="328"/>
        <w:spacing w:after="0" w:line="219" w:lineRule="auto"/>
        <w:tabs>
          <w:tab w:leader="none" w:pos="659" w:val="left"/>
        </w:tabs>
        <w:numPr>
          <w:ilvl w:val="0"/>
          <w:numId w:val="10"/>
        </w:numPr>
        <w:rPr>
          <w:rFonts w:ascii="Arial" w:cs="Arial" w:eastAsia="Arial" w:hAnsi="Arial"/>
          <w:sz w:val="18"/>
          <w:szCs w:val="18"/>
          <w:color w:val="auto"/>
        </w:rPr>
      </w:pPr>
      <w:r>
        <w:rPr>
          <w:rFonts w:ascii="Arial" w:cs="Arial" w:eastAsia="Arial" w:hAnsi="Arial"/>
          <w:sz w:val="18"/>
          <w:szCs w:val="18"/>
          <w:color w:val="212121"/>
        </w:rPr>
        <w:t>Executive and Inseego desire that through Inseego</w:t>
      </w:r>
      <w:r>
        <w:rPr>
          <w:rFonts w:ascii="Arial" w:cs="Arial" w:eastAsia="Arial" w:hAnsi="Arial"/>
          <w:sz w:val="18"/>
          <w:szCs w:val="18"/>
          <w:color w:val="444241"/>
        </w:rPr>
        <w:t>'</w:t>
      </w:r>
      <w:r>
        <w:rPr>
          <w:rFonts w:ascii="Arial" w:cs="Arial" w:eastAsia="Arial" w:hAnsi="Arial"/>
          <w:sz w:val="18"/>
          <w:szCs w:val="18"/>
          <w:color w:val="212121"/>
        </w:rPr>
        <w:t xml:space="preserve">s 2022 annual meeting of stock.holders (the </w:t>
      </w:r>
      <w:r>
        <w:rPr>
          <w:rFonts w:ascii="Arial" w:cs="Arial" w:eastAsia="Arial" w:hAnsi="Arial"/>
          <w:sz w:val="18"/>
          <w:szCs w:val="18"/>
          <w:u w:val="single" w:color="auto"/>
          <w:color w:val="212121"/>
        </w:rPr>
        <w:t>"Transition Completion Date")</w:t>
      </w:r>
      <w:r>
        <w:rPr>
          <w:rFonts w:ascii="Arial" w:cs="Arial" w:eastAsia="Arial" w:hAnsi="Arial"/>
          <w:sz w:val="18"/>
          <w:szCs w:val="18"/>
          <w:color w:val="212121"/>
        </w:rPr>
        <w:t xml:space="preserve"> (1) Executive will continue to be an employee of the Company as Executive Chairman from the Effective Date to assist in transitioning Executive's duties and responsibilities</w:t>
      </w:r>
      <w:r>
        <w:rPr>
          <w:rFonts w:ascii="Arial" w:cs="Arial" w:eastAsia="Arial" w:hAnsi="Arial"/>
          <w:sz w:val="18"/>
          <w:szCs w:val="18"/>
          <w:color w:val="444241"/>
        </w:rPr>
        <w:t>;</w:t>
      </w:r>
      <w:r>
        <w:rPr>
          <w:rFonts w:ascii="Arial" w:cs="Arial" w:eastAsia="Arial" w:hAnsi="Arial"/>
          <w:sz w:val="18"/>
          <w:szCs w:val="18"/>
          <w:color w:val="212121"/>
        </w:rPr>
        <w:t xml:space="preserve"> and (2) Executive will remain eligible for certain compensation and benefits as an employee in connection with such services</w:t>
      </w:r>
      <w:r>
        <w:rPr>
          <w:rFonts w:ascii="Arial" w:cs="Arial" w:eastAsia="Arial" w:hAnsi="Arial"/>
          <w:sz w:val="18"/>
          <w:szCs w:val="18"/>
          <w:color w:val="444241"/>
        </w:rPr>
        <w:t>,</w:t>
      </w:r>
      <w:r>
        <w:rPr>
          <w:rFonts w:ascii="Arial" w:cs="Arial" w:eastAsia="Arial" w:hAnsi="Arial"/>
          <w:sz w:val="18"/>
          <w:szCs w:val="18"/>
          <w:color w:val="212121"/>
        </w:rPr>
        <w:t xml:space="preserve"> as described in this Agreement.</w:t>
      </w:r>
    </w:p>
    <w:p>
      <w:pPr>
        <w:spacing w:after="0" w:line="190" w:lineRule="exact"/>
        <w:rPr>
          <w:sz w:val="20"/>
          <w:szCs w:val="20"/>
          <w:color w:val="auto"/>
        </w:rPr>
      </w:pPr>
    </w:p>
    <w:p>
      <w:pPr>
        <w:jc w:val="both"/>
        <w:ind w:firstLine="855"/>
        <w:spacing w:after="0" w:line="235" w:lineRule="auto"/>
        <w:rPr>
          <w:sz w:val="20"/>
          <w:szCs w:val="20"/>
          <w:color w:val="auto"/>
        </w:rPr>
      </w:pPr>
      <w:r>
        <w:rPr>
          <w:rFonts w:ascii="Arial" w:cs="Arial" w:eastAsia="Arial" w:hAnsi="Arial"/>
          <w:sz w:val="18"/>
          <w:szCs w:val="18"/>
          <w:color w:val="212121"/>
        </w:rPr>
        <w:t>D</w:t>
      </w:r>
      <w:r>
        <w:rPr>
          <w:rFonts w:ascii="Arial" w:cs="Arial" w:eastAsia="Arial" w:hAnsi="Arial"/>
          <w:sz w:val="18"/>
          <w:szCs w:val="18"/>
          <w:color w:val="444241"/>
        </w:rPr>
        <w:t>.</w:t>
      </w:r>
      <w:r>
        <w:rPr>
          <w:rFonts w:ascii="Arial" w:cs="Arial" w:eastAsia="Arial" w:hAnsi="Arial"/>
          <w:sz w:val="18"/>
          <w:szCs w:val="18"/>
          <w:color w:val="212121"/>
        </w:rPr>
        <w:t xml:space="preserve"> Inseego and Executive do not anticipate that there will be any disputes between them or legal claims arising out of Executive's separation from employment</w:t>
      </w:r>
      <w:r>
        <w:rPr>
          <w:rFonts w:ascii="Arial" w:cs="Arial" w:eastAsia="Arial" w:hAnsi="Arial"/>
          <w:sz w:val="18"/>
          <w:szCs w:val="18"/>
          <w:color w:val="444241"/>
        </w:rPr>
        <w:t>,</w:t>
      </w:r>
      <w:r>
        <w:rPr>
          <w:rFonts w:ascii="Arial" w:cs="Arial" w:eastAsia="Arial" w:hAnsi="Arial"/>
          <w:sz w:val="18"/>
          <w:szCs w:val="18"/>
          <w:color w:val="212121"/>
        </w:rPr>
        <w:t xml:space="preserve"> but nevertheless</w:t>
      </w:r>
      <w:r>
        <w:rPr>
          <w:rFonts w:ascii="Arial" w:cs="Arial" w:eastAsia="Arial" w:hAnsi="Arial"/>
          <w:sz w:val="18"/>
          <w:szCs w:val="18"/>
          <w:color w:val="444241"/>
        </w:rPr>
        <w:t>,</w:t>
      </w:r>
      <w:r>
        <w:rPr>
          <w:rFonts w:ascii="Arial" w:cs="Arial" w:eastAsia="Arial" w:hAnsi="Arial"/>
          <w:sz w:val="18"/>
          <w:szCs w:val="18"/>
          <w:color w:val="212121"/>
        </w:rPr>
        <w:t xml:space="preserve"> desire to ensure a completely amicable parting and to settle fully and finally any and all differences or claims that might arise out of Executive the employment relationship and termination thereof.</w:t>
      </w:r>
    </w:p>
    <w:p>
      <w:pPr>
        <w:spacing w:after="0" w:line="202" w:lineRule="exact"/>
        <w:rPr>
          <w:sz w:val="20"/>
          <w:szCs w:val="20"/>
          <w:color w:val="auto"/>
        </w:rPr>
      </w:pPr>
    </w:p>
    <w:p>
      <w:pPr>
        <w:ind w:left="6840"/>
        <w:spacing w:after="0"/>
        <w:rPr>
          <w:sz w:val="20"/>
          <w:szCs w:val="20"/>
          <w:color w:val="auto"/>
        </w:rPr>
      </w:pPr>
      <w:r>
        <w:rPr>
          <w:rFonts w:ascii="Arial" w:cs="Arial" w:eastAsia="Arial" w:hAnsi="Arial"/>
          <w:sz w:val="18"/>
          <w:szCs w:val="18"/>
          <w:u w:val="single" w:color="auto"/>
          <w:color w:val="212121"/>
        </w:rPr>
        <w:t>Agreement</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212121"/>
        </w:rPr>
        <w:t>Transition Services</w:t>
      </w:r>
      <w:r>
        <w:rPr>
          <w:rFonts w:ascii="Arial" w:cs="Arial" w:eastAsia="Arial" w:hAnsi="Arial"/>
          <w:sz w:val="16"/>
          <w:szCs w:val="16"/>
          <w:color w:val="050507"/>
        </w:rPr>
        <w:t>.</w:t>
      </w:r>
      <w:r>
        <w:rPr>
          <w:rFonts w:ascii="Arial" w:cs="Arial" w:eastAsia="Arial" w:hAnsi="Arial"/>
          <w:sz w:val="16"/>
          <w:szCs w:val="16"/>
          <w:color w:val="212121"/>
        </w:rPr>
        <w:t xml:space="preserve"> Effective as of the end of the business day on the Effective Date, Executive's appointment as Chief Executive Officer of the Company shall end. From the Effective Date through the Transition Completion Date (the </w:t>
      </w:r>
      <w:r>
        <w:rPr>
          <w:rFonts w:ascii="Arial" w:cs="Arial" w:eastAsia="Arial" w:hAnsi="Arial"/>
          <w:sz w:val="16"/>
          <w:szCs w:val="16"/>
          <w:u w:val="single" w:color="auto"/>
          <w:color w:val="444241"/>
        </w:rPr>
        <w:t>"</w:t>
      </w:r>
      <w:r>
        <w:rPr>
          <w:rFonts w:ascii="Arial" w:cs="Arial" w:eastAsia="Arial" w:hAnsi="Arial"/>
          <w:sz w:val="16"/>
          <w:szCs w:val="16"/>
          <w:u w:val="single" w:color="auto"/>
          <w:color w:val="212121"/>
        </w:rPr>
        <w:t>Transition Period</w:t>
      </w:r>
      <w:r>
        <w:rPr>
          <w:rFonts w:ascii="Arial" w:cs="Arial" w:eastAsia="Arial" w:hAnsi="Arial"/>
          <w:sz w:val="16"/>
          <w:szCs w:val="16"/>
          <w:u w:val="single" w:color="auto"/>
          <w:color w:val="444241"/>
        </w:rPr>
        <w:t>"</w:t>
      </w:r>
      <w:r>
        <w:rPr>
          <w:rFonts w:ascii="Arial" w:cs="Arial" w:eastAsia="Arial" w:hAnsi="Arial"/>
          <w:sz w:val="16"/>
          <w:szCs w:val="16"/>
          <w:u w:val="single" w:color="auto"/>
          <w:color w:val="212121"/>
        </w:rPr>
        <w:t>)</w:t>
      </w:r>
      <w:r>
        <w:rPr>
          <w:rFonts w:ascii="Arial" w:cs="Arial" w:eastAsia="Arial" w:hAnsi="Arial"/>
          <w:sz w:val="16"/>
          <w:szCs w:val="16"/>
          <w:color w:val="444241"/>
        </w:rPr>
        <w:t>,</w:t>
      </w:r>
      <w:r>
        <w:rPr>
          <w:rFonts w:ascii="Arial" w:cs="Arial" w:eastAsia="Arial" w:hAnsi="Arial"/>
          <w:sz w:val="16"/>
          <w:szCs w:val="16"/>
          <w:color w:val="212121"/>
        </w:rPr>
        <w:t xml:space="preserve"> Executive will continue to be a</w:t>
      </w:r>
    </w:p>
    <w:p>
      <w:pPr>
        <w:spacing w:after="0" w:line="1"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212121"/>
        </w:rPr>
        <w:t>full-time employee of the Company as Executive Chairman</w:t>
      </w:r>
      <w:r>
        <w:rPr>
          <w:rFonts w:ascii="Arial" w:cs="Arial" w:eastAsia="Arial" w:hAnsi="Arial"/>
          <w:sz w:val="18"/>
          <w:szCs w:val="18"/>
          <w:color w:val="444241"/>
        </w:rPr>
        <w:t>,</w:t>
      </w:r>
      <w:r>
        <w:rPr>
          <w:rFonts w:ascii="Arial" w:cs="Arial" w:eastAsia="Arial" w:hAnsi="Arial"/>
          <w:sz w:val="18"/>
          <w:szCs w:val="18"/>
          <w:color w:val="212121"/>
        </w:rPr>
        <w:t xml:space="preserve"> with the following duties and responsibilities (the </w:t>
      </w:r>
      <w:r>
        <w:rPr>
          <w:rFonts w:ascii="Arial" w:cs="Arial" w:eastAsia="Arial" w:hAnsi="Arial"/>
          <w:sz w:val="18"/>
          <w:szCs w:val="18"/>
          <w:u w:val="single" w:color="auto"/>
          <w:color w:val="212121"/>
        </w:rPr>
        <w:t>"Transition Services</w:t>
      </w:r>
      <w:r>
        <w:rPr>
          <w:rFonts w:ascii="Arial" w:cs="Arial" w:eastAsia="Arial" w:hAnsi="Arial"/>
          <w:sz w:val="18"/>
          <w:szCs w:val="18"/>
          <w:u w:val="single" w:color="auto"/>
          <w:color w:val="444241"/>
        </w:rPr>
        <w:t>"</w:t>
      </w:r>
      <w:r>
        <w:rPr>
          <w:rFonts w:ascii="Arial" w:cs="Arial" w:eastAsia="Arial" w:hAnsi="Arial"/>
          <w:sz w:val="18"/>
          <w:szCs w:val="18"/>
          <w:u w:val="single" w:color="auto"/>
          <w:color w:val="212121"/>
        </w:rPr>
        <w:t>)</w:t>
      </w:r>
      <w:r>
        <w:rPr>
          <w:rFonts w:ascii="Arial" w:cs="Arial" w:eastAsia="Arial" w:hAnsi="Arial"/>
          <w:sz w:val="18"/>
          <w:szCs w:val="18"/>
          <w:color w:val="212121"/>
        </w:rPr>
        <w:t>: (i) providing transition services in Executive's areas of expertise and work experience and responsibility</w:t>
      </w:r>
      <w:r>
        <w:rPr>
          <w:rFonts w:ascii="Arial" w:cs="Arial" w:eastAsia="Arial" w:hAnsi="Arial"/>
          <w:sz w:val="18"/>
          <w:szCs w:val="18"/>
          <w:color w:val="444241"/>
        </w:rPr>
        <w:t>,</w:t>
      </w:r>
      <w:r>
        <w:rPr>
          <w:rFonts w:ascii="Arial" w:cs="Arial" w:eastAsia="Arial" w:hAnsi="Arial"/>
          <w:sz w:val="18"/>
          <w:szCs w:val="18"/>
          <w:color w:val="212121"/>
        </w:rPr>
        <w:t xml:space="preserve"> as reasonably requested by lnseego's Chief Executive Officer and Board of Directors (the </w:t>
      </w:r>
      <w:r>
        <w:rPr>
          <w:rFonts w:ascii="Arial" w:cs="Arial" w:eastAsia="Arial" w:hAnsi="Arial"/>
          <w:sz w:val="18"/>
          <w:szCs w:val="18"/>
          <w:u w:val="single" w:color="auto"/>
          <w:color w:val="212121"/>
        </w:rPr>
        <w:t>"Board</w:t>
      </w:r>
      <w:r>
        <w:rPr>
          <w:rFonts w:ascii="Arial" w:cs="Arial" w:eastAsia="Arial" w:hAnsi="Arial"/>
          <w:sz w:val="18"/>
          <w:szCs w:val="18"/>
          <w:u w:val="single" w:color="auto"/>
          <w:color w:val="444241"/>
        </w:rPr>
        <w:t>"</w:t>
      </w:r>
      <w:r>
        <w:rPr>
          <w:rFonts w:ascii="Arial" w:cs="Arial" w:eastAsia="Arial" w:hAnsi="Arial"/>
          <w:sz w:val="18"/>
          <w:szCs w:val="18"/>
          <w:u w:val="single" w:color="auto"/>
          <w:color w:val="212121"/>
        </w:rPr>
        <w:t>)</w:t>
      </w:r>
      <w:r>
        <w:rPr>
          <w:rFonts w:ascii="Arial" w:cs="Arial" w:eastAsia="Arial" w:hAnsi="Arial"/>
          <w:sz w:val="18"/>
          <w:szCs w:val="18"/>
          <w:color w:val="212121"/>
        </w:rPr>
        <w:t>; (ii) recruiting of enterprise sales expertise;</w:t>
      </w:r>
    </w:p>
    <w:p>
      <w:pPr>
        <w:ind w:right="20" w:firstLine="213"/>
        <w:spacing w:after="0" w:line="226" w:lineRule="auto"/>
        <w:tabs>
          <w:tab w:leader="none" w:pos="536" w:val="left"/>
        </w:tabs>
        <w:numPr>
          <w:ilvl w:val="0"/>
          <w:numId w:val="12"/>
        </w:numPr>
        <w:rPr>
          <w:rFonts w:ascii="Arial" w:cs="Arial" w:eastAsia="Arial" w:hAnsi="Arial"/>
          <w:sz w:val="18"/>
          <w:szCs w:val="18"/>
          <w:color w:val="212121"/>
        </w:rPr>
      </w:pPr>
      <w:r>
        <w:rPr>
          <w:rFonts w:ascii="Arial" w:cs="Arial" w:eastAsia="Arial" w:hAnsi="Arial"/>
          <w:sz w:val="18"/>
          <w:szCs w:val="18"/>
          <w:color w:val="212121"/>
        </w:rPr>
        <w:t>developing relationships with strategic partners</w:t>
      </w:r>
      <w:r>
        <w:rPr>
          <w:rFonts w:ascii="Arial" w:cs="Arial" w:eastAsia="Arial" w:hAnsi="Arial"/>
          <w:sz w:val="18"/>
          <w:szCs w:val="18"/>
          <w:color w:val="444241"/>
        </w:rPr>
        <w:t>;</w:t>
      </w:r>
      <w:r>
        <w:rPr>
          <w:rFonts w:ascii="Arial" w:cs="Arial" w:eastAsia="Arial" w:hAnsi="Arial"/>
          <w:sz w:val="18"/>
          <w:szCs w:val="18"/>
          <w:color w:val="212121"/>
        </w:rPr>
        <w:t xml:space="preserve"> (iv) evaluating potential strategic transactions; (iv) representing lnseego at external investor and media events and participating in media and investor events</w:t>
      </w:r>
      <w:r>
        <w:rPr>
          <w:rFonts w:ascii="Arial" w:cs="Arial" w:eastAsia="Arial" w:hAnsi="Arial"/>
          <w:sz w:val="18"/>
          <w:szCs w:val="18"/>
          <w:color w:val="444241"/>
        </w:rPr>
        <w:t>,</w:t>
      </w:r>
      <w:r>
        <w:rPr>
          <w:rFonts w:ascii="Arial" w:cs="Arial" w:eastAsia="Arial" w:hAnsi="Arial"/>
          <w:sz w:val="18"/>
          <w:szCs w:val="18"/>
          <w:color w:val="212121"/>
        </w:rPr>
        <w:t xml:space="preserve"> as agreed to by Inseego</w:t>
      </w:r>
      <w:r>
        <w:rPr>
          <w:rFonts w:ascii="Arial" w:cs="Arial" w:eastAsia="Arial" w:hAnsi="Arial"/>
          <w:sz w:val="18"/>
          <w:szCs w:val="18"/>
          <w:color w:val="444241"/>
        </w:rPr>
        <w:t>'</w:t>
      </w:r>
      <w:r>
        <w:rPr>
          <w:rFonts w:ascii="Arial" w:cs="Arial" w:eastAsia="Arial" w:hAnsi="Arial"/>
          <w:sz w:val="18"/>
          <w:szCs w:val="18"/>
          <w:color w:val="212121"/>
        </w:rPr>
        <w:t>s Chief Executive Officer and the Board.</w:t>
      </w:r>
    </w:p>
    <w:p>
      <w:pPr>
        <w:spacing w:after="0" w:line="188" w:lineRule="exact"/>
        <w:rPr>
          <w:sz w:val="20"/>
          <w:szCs w:val="20"/>
          <w:color w:val="auto"/>
        </w:rPr>
      </w:pPr>
    </w:p>
    <w:p>
      <w:pPr>
        <w:ind w:left="660" w:hanging="328"/>
        <w:spacing w:after="0" w:line="24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212121"/>
        </w:rPr>
        <w:t>Compensation and Benefits During Transition Period</w:t>
      </w:r>
      <w:r>
        <w:rPr>
          <w:rFonts w:ascii="Arial" w:cs="Arial" w:eastAsia="Arial" w:hAnsi="Arial"/>
          <w:sz w:val="18"/>
          <w:szCs w:val="18"/>
          <w:color w:val="212121"/>
        </w:rPr>
        <w:t>. During the Transition Period</w:t>
      </w:r>
      <w:r>
        <w:rPr>
          <w:rFonts w:ascii="Arial" w:cs="Arial" w:eastAsia="Arial" w:hAnsi="Arial"/>
          <w:sz w:val="18"/>
          <w:szCs w:val="18"/>
          <w:color w:val="444241"/>
        </w:rPr>
        <w:t>,</w:t>
      </w:r>
      <w:r>
        <w:rPr>
          <w:rFonts w:ascii="Arial" w:cs="Arial" w:eastAsia="Arial" w:hAnsi="Arial"/>
          <w:sz w:val="18"/>
          <w:szCs w:val="18"/>
          <w:color w:val="212121"/>
        </w:rPr>
        <w:t xml:space="preserve"> Executive shall be entitled to the compensation and benefits described below.</w:t>
      </w:r>
    </w:p>
    <w:p>
      <w:pPr>
        <w:spacing w:after="0" w:line="193" w:lineRule="exact"/>
        <w:rPr>
          <w:sz w:val="20"/>
          <w:szCs w:val="20"/>
          <w:color w:val="auto"/>
        </w:rPr>
      </w:pPr>
    </w:p>
    <w:p>
      <w:pPr>
        <w:ind w:left="1300" w:hanging="320"/>
        <w:spacing w:after="0" w:line="294" w:lineRule="auto"/>
        <w:tabs>
          <w:tab w:leader="none" w:pos="129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212121"/>
        </w:rPr>
        <w:t>Base Salary</w:t>
      </w:r>
      <w:r>
        <w:rPr>
          <w:rFonts w:ascii="Arial" w:cs="Arial" w:eastAsia="Arial" w:hAnsi="Arial"/>
          <w:sz w:val="16"/>
          <w:szCs w:val="16"/>
          <w:color w:val="212121"/>
        </w:rPr>
        <w:t>. During the Transition Period</w:t>
      </w:r>
      <w:r>
        <w:rPr>
          <w:rFonts w:ascii="Arial" w:cs="Arial" w:eastAsia="Arial" w:hAnsi="Arial"/>
          <w:sz w:val="16"/>
          <w:szCs w:val="16"/>
          <w:color w:val="444241"/>
        </w:rPr>
        <w:t>,</w:t>
      </w:r>
      <w:r>
        <w:rPr>
          <w:rFonts w:ascii="Arial" w:cs="Arial" w:eastAsia="Arial" w:hAnsi="Arial"/>
          <w:sz w:val="16"/>
          <w:szCs w:val="16"/>
          <w:color w:val="212121"/>
        </w:rPr>
        <w:t xml:space="preserve"> lnseego shall pay Executive an annual base salary of$ l 00,000 in periodic installments </w:t>
      </w:r>
      <w:r>
        <w:rPr>
          <w:rFonts w:ascii="Arial" w:cs="Arial" w:eastAsia="Arial" w:hAnsi="Arial"/>
          <w:sz w:val="16"/>
          <w:szCs w:val="16"/>
          <w:b w:val="1"/>
          <w:bCs w:val="1"/>
          <w:color w:val="212121"/>
        </w:rPr>
        <w:t>in</w:t>
      </w:r>
      <w:r>
        <w:rPr>
          <w:rFonts w:ascii="Arial" w:cs="Arial" w:eastAsia="Arial" w:hAnsi="Arial"/>
          <w:sz w:val="16"/>
          <w:szCs w:val="16"/>
          <w:color w:val="212121"/>
        </w:rPr>
        <w:t xml:space="preserve"> accordance with the Company's customary payroll practices and applicable wage payment laws</w:t>
      </w:r>
      <w:r>
        <w:rPr>
          <w:rFonts w:ascii="Arial" w:cs="Arial" w:eastAsia="Arial" w:hAnsi="Arial"/>
          <w:sz w:val="16"/>
          <w:szCs w:val="16"/>
          <w:color w:val="444241"/>
        </w:rPr>
        <w:t>,</w:t>
      </w:r>
      <w:r>
        <w:rPr>
          <w:rFonts w:ascii="Arial" w:cs="Arial" w:eastAsia="Arial" w:hAnsi="Arial"/>
          <w:sz w:val="16"/>
          <w:szCs w:val="16"/>
          <w:color w:val="212121"/>
        </w:rPr>
        <w:t xml:space="preserve"> but no less frequently than monthly.</w:t>
      </w:r>
    </w:p>
    <w:p>
      <w:pPr>
        <w:spacing w:after="0" w:line="147" w:lineRule="exact"/>
        <w:rPr>
          <w:sz w:val="20"/>
          <w:szCs w:val="20"/>
          <w:color w:val="auto"/>
        </w:rPr>
      </w:pPr>
    </w:p>
    <w:p>
      <w:pPr>
        <w:jc w:val="both"/>
        <w:ind w:left="1300" w:right="20" w:hanging="320"/>
        <w:spacing w:after="0" w:line="253" w:lineRule="auto"/>
        <w:tabs>
          <w:tab w:leader="none" w:pos="129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212121"/>
        </w:rPr>
        <w:t>Bonus</w:t>
      </w:r>
      <w:r>
        <w:rPr>
          <w:rFonts w:ascii="Arial" w:cs="Arial" w:eastAsia="Arial" w:hAnsi="Arial"/>
          <w:sz w:val="16"/>
          <w:szCs w:val="16"/>
          <w:color w:val="212121"/>
        </w:rPr>
        <w:t>. For the completed 2021 calendar year</w:t>
      </w:r>
      <w:r>
        <w:rPr>
          <w:rFonts w:ascii="Arial" w:cs="Arial" w:eastAsia="Arial" w:hAnsi="Arial"/>
          <w:sz w:val="16"/>
          <w:szCs w:val="16"/>
          <w:color w:val="444241"/>
        </w:rPr>
        <w:t>,</w:t>
      </w:r>
      <w:r>
        <w:rPr>
          <w:rFonts w:ascii="Arial" w:cs="Arial" w:eastAsia="Arial" w:hAnsi="Arial"/>
          <w:sz w:val="16"/>
          <w:szCs w:val="16"/>
          <w:color w:val="212121"/>
        </w:rPr>
        <w:t xml:space="preserve"> Executive shall be paid a bonus in an amount calculated in accordance with Executive's previously established target bonus for 2021 based on the achievement of the company performance goals established by the Compensation Committee of the Board</w:t>
      </w:r>
      <w:r>
        <w:rPr>
          <w:rFonts w:ascii="Arial" w:cs="Arial" w:eastAsia="Arial" w:hAnsi="Arial"/>
          <w:sz w:val="16"/>
          <w:szCs w:val="16"/>
          <w:color w:val="444241"/>
        </w:rPr>
        <w:t>.</w:t>
      </w:r>
      <w:r>
        <w:rPr>
          <w:rFonts w:ascii="Arial" w:cs="Arial" w:eastAsia="Arial" w:hAnsi="Arial"/>
          <w:sz w:val="16"/>
          <w:szCs w:val="16"/>
          <w:color w:val="212121"/>
        </w:rPr>
        <w:t xml:space="preserve"> Executive shall not be eligible for any bonus with respect to 2022 or any subsequent year.</w:t>
      </w:r>
    </w:p>
    <w:p>
      <w:pPr>
        <w:spacing w:after="0" w:line="1" w:lineRule="exact"/>
        <w:rPr>
          <w:rFonts w:ascii="Arial" w:cs="Arial" w:eastAsia="Arial" w:hAnsi="Arial"/>
          <w:sz w:val="16"/>
          <w:szCs w:val="16"/>
          <w:color w:val="auto"/>
        </w:rPr>
      </w:pPr>
    </w:p>
    <w:p>
      <w:pPr>
        <w:jc w:val="both"/>
        <w:ind w:left="1300" w:hanging="320"/>
        <w:spacing w:after="0" w:line="232"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212121"/>
        </w:rPr>
        <w:t>Equity Awards</w:t>
      </w:r>
      <w:r>
        <w:rPr>
          <w:rFonts w:ascii="Arial" w:cs="Arial" w:eastAsia="Arial" w:hAnsi="Arial"/>
          <w:sz w:val="17"/>
          <w:szCs w:val="17"/>
          <w:color w:val="212121"/>
        </w:rPr>
        <w:t>. As of the Effective Date</w:t>
      </w:r>
      <w:r>
        <w:rPr>
          <w:rFonts w:ascii="Arial" w:cs="Arial" w:eastAsia="Arial" w:hAnsi="Arial"/>
          <w:sz w:val="17"/>
          <w:szCs w:val="17"/>
          <w:color w:val="595654"/>
        </w:rPr>
        <w:t>,</w:t>
      </w:r>
      <w:r>
        <w:rPr>
          <w:rFonts w:ascii="Arial" w:cs="Arial" w:eastAsia="Arial" w:hAnsi="Arial"/>
          <w:sz w:val="17"/>
          <w:szCs w:val="17"/>
          <w:color w:val="212121"/>
        </w:rPr>
        <w:t xml:space="preserve"> the vesting of25% of the options granted to E</w:t>
      </w:r>
      <w:r>
        <w:rPr>
          <w:rFonts w:ascii="Arial" w:cs="Arial" w:eastAsia="Arial" w:hAnsi="Arial"/>
          <w:sz w:val="17"/>
          <w:szCs w:val="17"/>
          <w:color w:val="444241"/>
        </w:rPr>
        <w:t>x</w:t>
      </w:r>
      <w:r>
        <w:rPr>
          <w:rFonts w:ascii="Arial" w:cs="Arial" w:eastAsia="Arial" w:hAnsi="Arial"/>
          <w:sz w:val="17"/>
          <w:szCs w:val="17"/>
          <w:color w:val="212121"/>
        </w:rPr>
        <w:t>ecutive on June 6, 2021 shall accelerate and become immediately exercisable, and the remaining options under such grant shall be cancelled and forfeited</w:t>
      </w:r>
      <w:r>
        <w:rPr>
          <w:rFonts w:ascii="Arial" w:cs="Arial" w:eastAsia="Arial" w:hAnsi="Arial"/>
          <w:sz w:val="17"/>
          <w:szCs w:val="17"/>
          <w:color w:val="444241"/>
        </w:rPr>
        <w:t>.</w:t>
      </w:r>
      <w:r>
        <w:rPr>
          <w:rFonts w:ascii="Arial" w:cs="Arial" w:eastAsia="Arial" w:hAnsi="Arial"/>
          <w:sz w:val="17"/>
          <w:szCs w:val="17"/>
          <w:color w:val="212121"/>
        </w:rPr>
        <w:t xml:space="preserve"> To the extent Executive continues to serve as a member of the Board after the Transition Completion Date he shall continue to be deemed a "Service Provider</w:t>
      </w:r>
      <w:r>
        <w:rPr>
          <w:rFonts w:ascii="Arial" w:cs="Arial" w:eastAsia="Arial" w:hAnsi="Arial"/>
          <w:sz w:val="17"/>
          <w:szCs w:val="17"/>
          <w:color w:val="444241"/>
        </w:rPr>
        <w:t>"</w:t>
      </w:r>
      <w:r>
        <w:rPr>
          <w:rFonts w:ascii="Arial" w:cs="Arial" w:eastAsia="Arial" w:hAnsi="Arial"/>
          <w:sz w:val="17"/>
          <w:szCs w:val="17"/>
          <w:color w:val="212121"/>
        </w:rPr>
        <w:t xml:space="preserve"> of the Company as defined in the 2018 Omnibus Incentive Compensation Plan</w:t>
      </w:r>
      <w:r>
        <w:rPr>
          <w:rFonts w:ascii="Arial" w:cs="Arial" w:eastAsia="Arial" w:hAnsi="Arial"/>
          <w:sz w:val="17"/>
          <w:szCs w:val="17"/>
          <w:color w:val="444241"/>
        </w:rPr>
        <w:t>,</w:t>
      </w:r>
      <w:r>
        <w:rPr>
          <w:rFonts w:ascii="Arial" w:cs="Arial" w:eastAsia="Arial" w:hAnsi="Arial"/>
          <w:sz w:val="17"/>
          <w:szCs w:val="17"/>
          <w:color w:val="212121"/>
        </w:rPr>
        <w:t xml:space="preserve"> as amended (the </w:t>
      </w:r>
      <w:r>
        <w:rPr>
          <w:rFonts w:ascii="Arial" w:cs="Arial" w:eastAsia="Arial" w:hAnsi="Arial"/>
          <w:sz w:val="17"/>
          <w:szCs w:val="17"/>
          <w:color w:val="444241"/>
        </w:rPr>
        <w:t>"</w:t>
      </w:r>
      <w:r>
        <w:rPr>
          <w:rFonts w:ascii="Arial" w:cs="Arial" w:eastAsia="Arial" w:hAnsi="Arial"/>
          <w:sz w:val="17"/>
          <w:szCs w:val="17"/>
          <w:color w:val="212121"/>
        </w:rPr>
        <w:t>2018 Incentive Plan</w:t>
      </w:r>
      <w:r>
        <w:rPr>
          <w:rFonts w:ascii="Arial" w:cs="Arial" w:eastAsia="Arial" w:hAnsi="Arial"/>
          <w:sz w:val="17"/>
          <w:szCs w:val="17"/>
          <w:color w:val="444241"/>
        </w:rPr>
        <w:t>"</w:t>
      </w:r>
      <w:r>
        <w:rPr>
          <w:rFonts w:ascii="Arial" w:cs="Arial" w:eastAsia="Arial" w:hAnsi="Arial"/>
          <w:sz w:val="17"/>
          <w:szCs w:val="17"/>
          <w:color w:val="212121"/>
        </w:rPr>
        <w:t>)</w:t>
      </w:r>
      <w:r>
        <w:rPr>
          <w:rFonts w:ascii="Arial" w:cs="Arial" w:eastAsia="Arial" w:hAnsi="Arial"/>
          <w:sz w:val="17"/>
          <w:szCs w:val="17"/>
          <w:color w:val="444241"/>
        </w:rPr>
        <w:t>,</w:t>
      </w:r>
      <w:r>
        <w:rPr>
          <w:rFonts w:ascii="Arial" w:cs="Arial" w:eastAsia="Arial" w:hAnsi="Arial"/>
          <w:sz w:val="17"/>
          <w:szCs w:val="17"/>
          <w:color w:val="212121"/>
        </w:rPr>
        <w:t xml:space="preserve"> Executive's vested options shall continue to be exercisable subject to the terms of the 2018 Incentive Plan</w:t>
      </w:r>
      <w:r>
        <w:rPr>
          <w:rFonts w:ascii="Arial" w:cs="Arial" w:eastAsia="Arial" w:hAnsi="Arial"/>
          <w:sz w:val="17"/>
          <w:szCs w:val="17"/>
          <w:color w:val="444241"/>
        </w:rPr>
        <w:t>.</w:t>
      </w:r>
    </w:p>
    <w:p>
      <w:pPr>
        <w:jc w:val="both"/>
        <w:ind w:left="1300" w:hanging="320"/>
        <w:spacing w:after="0" w:line="239" w:lineRule="auto"/>
        <w:tabs>
          <w:tab w:leader="none" w:pos="129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212121"/>
        </w:rPr>
        <w:t>Employee Benefits</w:t>
      </w:r>
      <w:r>
        <w:rPr>
          <w:rFonts w:ascii="Arial" w:cs="Arial" w:eastAsia="Arial" w:hAnsi="Arial"/>
          <w:sz w:val="17"/>
          <w:szCs w:val="17"/>
          <w:color w:val="444241"/>
        </w:rPr>
        <w:t>.</w:t>
      </w:r>
      <w:r>
        <w:rPr>
          <w:rFonts w:ascii="Arial" w:cs="Arial" w:eastAsia="Arial" w:hAnsi="Arial"/>
          <w:sz w:val="17"/>
          <w:szCs w:val="17"/>
          <w:color w:val="212121"/>
        </w:rPr>
        <w:t xml:space="preserve"> Executive shall continue to be entitled to participate in all employee benefit plans</w:t>
      </w:r>
      <w:r>
        <w:rPr>
          <w:rFonts w:ascii="Arial" w:cs="Arial" w:eastAsia="Arial" w:hAnsi="Arial"/>
          <w:sz w:val="17"/>
          <w:szCs w:val="17"/>
          <w:color w:val="444241"/>
        </w:rPr>
        <w:t>,</w:t>
      </w:r>
      <w:r>
        <w:rPr>
          <w:rFonts w:ascii="Arial" w:cs="Arial" w:eastAsia="Arial" w:hAnsi="Arial"/>
          <w:sz w:val="17"/>
          <w:szCs w:val="17"/>
          <w:color w:val="212121"/>
        </w:rPr>
        <w:t xml:space="preserve"> practices</w:t>
      </w:r>
      <w:r>
        <w:rPr>
          <w:rFonts w:ascii="Arial" w:cs="Arial" w:eastAsia="Arial" w:hAnsi="Arial"/>
          <w:sz w:val="17"/>
          <w:szCs w:val="17"/>
          <w:color w:val="444241"/>
        </w:rPr>
        <w:t>,</w:t>
      </w:r>
      <w:r>
        <w:rPr>
          <w:rFonts w:ascii="Arial" w:cs="Arial" w:eastAsia="Arial" w:hAnsi="Arial"/>
          <w:sz w:val="17"/>
          <w:szCs w:val="17"/>
          <w:color w:val="212121"/>
        </w:rPr>
        <w:t xml:space="preserve"> and programs maintained by the Company</w:t>
      </w:r>
      <w:r>
        <w:rPr>
          <w:rFonts w:ascii="Arial" w:cs="Arial" w:eastAsia="Arial" w:hAnsi="Arial"/>
          <w:sz w:val="17"/>
          <w:szCs w:val="17"/>
          <w:color w:val="444241"/>
        </w:rPr>
        <w:t>,</w:t>
      </w:r>
      <w:r>
        <w:rPr>
          <w:rFonts w:ascii="Arial" w:cs="Arial" w:eastAsia="Arial" w:hAnsi="Arial"/>
          <w:sz w:val="17"/>
          <w:szCs w:val="17"/>
          <w:color w:val="212121"/>
        </w:rPr>
        <w:t xml:space="preserve"> as in effect from time to time (collectively</w:t>
      </w:r>
      <w:r>
        <w:rPr>
          <w:rFonts w:ascii="Arial" w:cs="Arial" w:eastAsia="Arial" w:hAnsi="Arial"/>
          <w:sz w:val="17"/>
          <w:szCs w:val="17"/>
          <w:color w:val="444241"/>
        </w:rPr>
        <w:t>,</w:t>
      </w:r>
      <w:r>
        <w:rPr>
          <w:rFonts w:ascii="Arial" w:cs="Arial" w:eastAsia="Arial" w:hAnsi="Arial"/>
          <w:sz w:val="17"/>
          <w:szCs w:val="17"/>
          <w:color w:val="212121"/>
        </w:rPr>
        <w:t xml:space="preserve"> </w:t>
      </w:r>
      <w:r>
        <w:rPr>
          <w:rFonts w:ascii="Arial" w:cs="Arial" w:eastAsia="Arial" w:hAnsi="Arial"/>
          <w:sz w:val="17"/>
          <w:szCs w:val="17"/>
          <w:b w:val="1"/>
          <w:bCs w:val="1"/>
          <w:i w:val="1"/>
          <w:iCs w:val="1"/>
          <w:color w:val="212121"/>
        </w:rPr>
        <w:t>"Employee Benefit Plans")</w:t>
      </w:r>
      <w:r>
        <w:rPr>
          <w:rFonts w:ascii="Arial" w:cs="Arial" w:eastAsia="Arial" w:hAnsi="Arial"/>
          <w:sz w:val="17"/>
          <w:szCs w:val="17"/>
          <w:b w:val="1"/>
          <w:bCs w:val="1"/>
          <w:i w:val="1"/>
          <w:iCs w:val="1"/>
          <w:color w:val="444241"/>
        </w:rPr>
        <w:t>,</w:t>
      </w:r>
      <w:r>
        <w:rPr>
          <w:rFonts w:ascii="Arial" w:cs="Arial" w:eastAsia="Arial" w:hAnsi="Arial"/>
          <w:sz w:val="17"/>
          <w:szCs w:val="17"/>
          <w:color w:val="212121"/>
        </w:rPr>
        <w:t xml:space="preserve"> to the extent consistent with applicable law and the terms of the applicable Employee Benefit Plans. The Company reserves the right to amend or terminate any Employee Benefit Plans at an</w:t>
      </w:r>
      <w:r>
        <w:rPr>
          <w:rFonts w:ascii="Arial" w:cs="Arial" w:eastAsia="Arial" w:hAnsi="Arial"/>
          <w:sz w:val="17"/>
          <w:szCs w:val="17"/>
          <w:color w:val="444241"/>
        </w:rPr>
        <w:t>y</w:t>
      </w:r>
      <w:r>
        <w:rPr>
          <w:rFonts w:ascii="Arial" w:cs="Arial" w:eastAsia="Arial" w:hAnsi="Arial"/>
          <w:sz w:val="17"/>
          <w:szCs w:val="17"/>
          <w:color w:val="212121"/>
        </w:rPr>
        <w:t xml:space="preserve"> time in its sole discretion</w:t>
      </w:r>
      <w:r>
        <w:rPr>
          <w:rFonts w:ascii="Arial" w:cs="Arial" w:eastAsia="Arial" w:hAnsi="Arial"/>
          <w:sz w:val="17"/>
          <w:szCs w:val="17"/>
          <w:color w:val="444241"/>
        </w:rPr>
        <w:t>,</w:t>
      </w:r>
      <w:r>
        <w:rPr>
          <w:rFonts w:ascii="Arial" w:cs="Arial" w:eastAsia="Arial" w:hAnsi="Arial"/>
          <w:sz w:val="17"/>
          <w:szCs w:val="17"/>
          <w:color w:val="212121"/>
        </w:rPr>
        <w:t xml:space="preserve"> subject to the terms of such Employee Benefit Plan and applicable law.</w:t>
      </w:r>
    </w:p>
    <w:p>
      <w:pPr>
        <w:spacing w:after="0" w:line="204" w:lineRule="exact"/>
        <w:rPr>
          <w:sz w:val="20"/>
          <w:szCs w:val="20"/>
          <w:color w:val="auto"/>
        </w:rPr>
      </w:pPr>
    </w:p>
    <w:p>
      <w:pPr>
        <w:jc w:val="both"/>
        <w:ind w:left="1300" w:hanging="320"/>
        <w:spacing w:after="0" w:line="224" w:lineRule="auto"/>
        <w:tabs>
          <w:tab w:leader="none" w:pos="129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212121"/>
        </w:rPr>
        <w:t>Paid Time Off</w:t>
      </w:r>
      <w:r>
        <w:rPr>
          <w:rFonts w:ascii="Arial" w:cs="Arial" w:eastAsia="Arial" w:hAnsi="Arial"/>
          <w:sz w:val="18"/>
          <w:szCs w:val="18"/>
          <w:color w:val="212121"/>
        </w:rPr>
        <w:t>. Executive will continue to be entitled to paid time off in accordance with the Company's policies for executive officers as such policies may exist from time to time. Following the Transition Completion Date, Executive shall be paid for any accrued but unused paid time off.</w:t>
      </w:r>
    </w:p>
    <w:p>
      <w:pPr>
        <w:spacing w:after="0" w:line="190" w:lineRule="exact"/>
        <w:rPr>
          <w:sz w:val="20"/>
          <w:szCs w:val="20"/>
          <w:color w:val="auto"/>
        </w:rPr>
      </w:pPr>
    </w:p>
    <w:p>
      <w:pPr>
        <w:jc w:val="both"/>
        <w:ind w:left="1300" w:hanging="320"/>
        <w:spacing w:after="0" w:line="259" w:lineRule="auto"/>
        <w:tabs>
          <w:tab w:leader="none" w:pos="129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212121"/>
        </w:rPr>
        <w:t>Business Expenses</w:t>
      </w:r>
      <w:r>
        <w:rPr>
          <w:rFonts w:ascii="Arial" w:cs="Arial" w:eastAsia="Arial" w:hAnsi="Arial"/>
          <w:sz w:val="16"/>
          <w:szCs w:val="16"/>
          <w:color w:val="3F3F3F"/>
        </w:rPr>
        <w:t>.</w:t>
      </w:r>
      <w:r>
        <w:rPr>
          <w:rFonts w:ascii="Arial" w:cs="Arial" w:eastAsia="Arial" w:hAnsi="Arial"/>
          <w:sz w:val="16"/>
          <w:szCs w:val="16"/>
          <w:color w:val="212121"/>
        </w:rPr>
        <w:t xml:space="preserve"> Executive shall continue to be entitled to reimbursement for all reasonable and necessary out-of-pocket business</w:t>
      </w:r>
      <w:r>
        <w:rPr>
          <w:rFonts w:ascii="Arial" w:cs="Arial" w:eastAsia="Arial" w:hAnsi="Arial"/>
          <w:sz w:val="16"/>
          <w:szCs w:val="16"/>
          <w:color w:val="3F3F3F"/>
        </w:rPr>
        <w:t>,</w:t>
      </w:r>
      <w:r>
        <w:rPr>
          <w:rFonts w:ascii="Arial" w:cs="Arial" w:eastAsia="Arial" w:hAnsi="Arial"/>
          <w:sz w:val="16"/>
          <w:szCs w:val="16"/>
          <w:color w:val="212121"/>
        </w:rPr>
        <w:t xml:space="preserve"> entertainment</w:t>
      </w:r>
      <w:r>
        <w:rPr>
          <w:rFonts w:ascii="Arial" w:cs="Arial" w:eastAsia="Arial" w:hAnsi="Arial"/>
          <w:sz w:val="16"/>
          <w:szCs w:val="16"/>
          <w:color w:val="3F3F3F"/>
        </w:rPr>
        <w:t>,</w:t>
      </w:r>
      <w:r>
        <w:rPr>
          <w:rFonts w:ascii="Arial" w:cs="Arial" w:eastAsia="Arial" w:hAnsi="Arial"/>
          <w:sz w:val="16"/>
          <w:szCs w:val="16"/>
          <w:color w:val="212121"/>
        </w:rPr>
        <w:t xml:space="preserve"> and travel expenses incurred by the Executive in connection with the performance of the Executive's duties hereunder in accordance with the Company's expense reimbursement policies and procedures consistent with the existing practices of the Company.</w:t>
      </w:r>
    </w:p>
    <w:p>
      <w:pPr>
        <w:spacing w:after="0" w:line="174" w:lineRule="exact"/>
        <w:rPr>
          <w:sz w:val="20"/>
          <w:szCs w:val="20"/>
          <w:color w:val="auto"/>
        </w:rPr>
      </w:pPr>
    </w:p>
    <w:p>
      <w:pPr>
        <w:jc w:val="both"/>
        <w:ind w:left="1300" w:hanging="320"/>
        <w:spacing w:after="0" w:line="224" w:lineRule="auto"/>
        <w:tabs>
          <w:tab w:leader="none" w:pos="129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212121"/>
        </w:rPr>
        <w:t>Success Fee</w:t>
      </w:r>
      <w:r>
        <w:rPr>
          <w:rFonts w:ascii="Arial" w:cs="Arial" w:eastAsia="Arial" w:hAnsi="Arial"/>
          <w:sz w:val="18"/>
          <w:szCs w:val="18"/>
          <w:color w:val="212121"/>
        </w:rPr>
        <w:t>. Executive shall be entitled to a cash success fee, payable upon the Transition Completion Date, determined by multiplying $50</w:t>
      </w:r>
      <w:r>
        <w:rPr>
          <w:rFonts w:ascii="Arial" w:cs="Arial" w:eastAsia="Arial" w:hAnsi="Arial"/>
          <w:sz w:val="18"/>
          <w:szCs w:val="18"/>
          <w:color w:val="4F4F50"/>
        </w:rPr>
        <w:t>,</w:t>
      </w:r>
      <w:r>
        <w:rPr>
          <w:rFonts w:ascii="Arial" w:cs="Arial" w:eastAsia="Arial" w:hAnsi="Arial"/>
          <w:sz w:val="18"/>
          <w:szCs w:val="18"/>
          <w:color w:val="212121"/>
        </w:rPr>
        <w:t>000 by the number of employees successfully recruited by Executive during the Transition Period that are employed by Inseego on the Transition Completion Date</w:t>
      </w:r>
      <w:r>
        <w:rPr>
          <w:rFonts w:ascii="Arial" w:cs="Arial" w:eastAsia="Arial" w:hAnsi="Arial"/>
          <w:sz w:val="18"/>
          <w:szCs w:val="18"/>
          <w:color w:val="4F4F50"/>
        </w:rPr>
        <w:t>.</w:t>
      </w:r>
    </w:p>
    <w:p>
      <w:pPr>
        <w:spacing w:after="0" w:line="190" w:lineRule="exact"/>
        <w:rPr>
          <w:sz w:val="20"/>
          <w:szCs w:val="20"/>
          <w:color w:val="auto"/>
        </w:rPr>
      </w:pPr>
    </w:p>
    <w:p>
      <w:pPr>
        <w:ind w:left="1300" w:hanging="320"/>
        <w:spacing w:after="0" w:line="289" w:lineRule="auto"/>
        <w:tabs>
          <w:tab w:leader="none" w:pos="129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212121"/>
        </w:rPr>
        <w:t>No Other Compensation.</w:t>
      </w:r>
      <w:r>
        <w:rPr>
          <w:rFonts w:ascii="Arial" w:cs="Arial" w:eastAsia="Arial" w:hAnsi="Arial"/>
          <w:sz w:val="16"/>
          <w:szCs w:val="16"/>
          <w:color w:val="212121"/>
        </w:rPr>
        <w:t xml:space="preserve"> Except as set forth herein</w:t>
      </w:r>
      <w:r>
        <w:rPr>
          <w:rFonts w:ascii="Arial" w:cs="Arial" w:eastAsia="Arial" w:hAnsi="Arial"/>
          <w:sz w:val="16"/>
          <w:szCs w:val="16"/>
          <w:color w:val="3F3F3F"/>
        </w:rPr>
        <w:t>,</w:t>
      </w:r>
      <w:r>
        <w:rPr>
          <w:rFonts w:ascii="Arial" w:cs="Arial" w:eastAsia="Arial" w:hAnsi="Arial"/>
          <w:sz w:val="16"/>
          <w:szCs w:val="16"/>
          <w:color w:val="212121"/>
        </w:rPr>
        <w:t xml:space="preserve"> Executive will not be eligible for any other payments from Inseego</w:t>
      </w:r>
      <w:r>
        <w:rPr>
          <w:rFonts w:ascii="Arial" w:cs="Arial" w:eastAsia="Arial" w:hAnsi="Arial"/>
          <w:sz w:val="16"/>
          <w:szCs w:val="16"/>
          <w:color w:val="4F4F50"/>
        </w:rPr>
        <w:t>,</w:t>
      </w:r>
      <w:r>
        <w:rPr>
          <w:rFonts w:ascii="Arial" w:cs="Arial" w:eastAsia="Arial" w:hAnsi="Arial"/>
          <w:sz w:val="16"/>
          <w:szCs w:val="16"/>
          <w:color w:val="212121"/>
        </w:rPr>
        <w:t xml:space="preserve"> and all payments hereunder constitute any and all payments due to Executive in connection with his employment and the separation form the Company.</w:t>
      </w:r>
    </w:p>
    <w:p>
      <w:pPr>
        <w:sectPr>
          <w:pgSz w:w="11900" w:h="16838" w:orient="portrait"/>
          <w:cols w:equalWidth="0" w:num="1">
            <w:col w:w="11240"/>
          </w:cols>
          <w:pgMar w:left="320" w:top="436" w:right="339" w:bottom="1440" w:gutter="0" w:footer="0" w:header="0"/>
        </w:sectPr>
      </w:pPr>
    </w:p>
    <w:bookmarkStart w:id="37" w:name="page38"/>
    <w:bookmarkEnd w:id="37"/>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212121"/>
        </w:rPr>
        <w:t>Termination of Employment and Subsequent Board Service</w:t>
      </w:r>
      <w:r>
        <w:rPr>
          <w:rFonts w:ascii="Arial" w:cs="Arial" w:eastAsia="Arial" w:hAnsi="Arial"/>
          <w:sz w:val="18"/>
          <w:szCs w:val="18"/>
          <w:color w:val="4F4F50"/>
        </w:rPr>
        <w:t>.</w:t>
      </w:r>
    </w:p>
    <w:p>
      <w:pPr>
        <w:spacing w:after="0" w:line="225" w:lineRule="exact"/>
        <w:rPr>
          <w:rFonts w:ascii="Arial" w:cs="Arial" w:eastAsia="Arial" w:hAnsi="Arial"/>
          <w:sz w:val="18"/>
          <w:szCs w:val="18"/>
          <w:color w:val="auto"/>
        </w:rPr>
      </w:pPr>
    </w:p>
    <w:p>
      <w:pPr>
        <w:jc w:val="both"/>
        <w:ind w:left="968" w:hanging="320"/>
        <w:spacing w:after="0" w:line="223" w:lineRule="auto"/>
        <w:tabs>
          <w:tab w:leader="none" w:pos="958" w:val="left"/>
        </w:tabs>
        <w:numPr>
          <w:ilvl w:val="1"/>
          <w:numId w:val="20"/>
        </w:numPr>
        <w:rPr>
          <w:rFonts w:ascii="Arial" w:cs="Arial" w:eastAsia="Arial" w:hAnsi="Arial"/>
          <w:sz w:val="18"/>
          <w:szCs w:val="18"/>
          <w:color w:val="auto"/>
        </w:rPr>
      </w:pPr>
      <w:r>
        <w:rPr>
          <w:rFonts w:ascii="Arial" w:cs="Arial" w:eastAsia="Arial" w:hAnsi="Arial"/>
          <w:sz w:val="18"/>
          <w:szCs w:val="18"/>
          <w:color w:val="212121"/>
        </w:rPr>
        <w:t>Effective as of the end of the business day on the Transition Completion Date, Executive</w:t>
      </w:r>
      <w:r>
        <w:rPr>
          <w:rFonts w:ascii="Arial" w:cs="Arial" w:eastAsia="Arial" w:hAnsi="Arial"/>
          <w:sz w:val="18"/>
          <w:szCs w:val="18"/>
          <w:color w:val="3F3F3F"/>
        </w:rPr>
        <w:t>'</w:t>
      </w:r>
      <w:r>
        <w:rPr>
          <w:rFonts w:ascii="Arial" w:cs="Arial" w:eastAsia="Arial" w:hAnsi="Arial"/>
          <w:sz w:val="18"/>
          <w:szCs w:val="18"/>
          <w:color w:val="212121"/>
        </w:rPr>
        <w:t>s employment with Inseego shall terminate. Subject to the nomination by the Board of Directors (upon recommendation of its Nominating and Corporate Governance Committee) and approval oflnseego</w:t>
      </w:r>
      <w:r>
        <w:rPr>
          <w:rFonts w:ascii="Arial" w:cs="Arial" w:eastAsia="Arial" w:hAnsi="Arial"/>
          <w:sz w:val="18"/>
          <w:szCs w:val="18"/>
          <w:color w:val="3F3F3F"/>
        </w:rPr>
        <w:t>'</w:t>
      </w:r>
      <w:r>
        <w:rPr>
          <w:rFonts w:ascii="Arial" w:cs="Arial" w:eastAsia="Arial" w:hAnsi="Arial"/>
          <w:sz w:val="18"/>
          <w:szCs w:val="18"/>
          <w:color w:val="212121"/>
        </w:rPr>
        <w:t>s stockholders</w:t>
      </w:r>
      <w:r>
        <w:rPr>
          <w:rFonts w:ascii="Arial" w:cs="Arial" w:eastAsia="Arial" w:hAnsi="Arial"/>
          <w:sz w:val="18"/>
          <w:szCs w:val="18"/>
          <w:color w:val="4F4F50"/>
        </w:rPr>
        <w:t>,</w:t>
      </w:r>
      <w:r>
        <w:rPr>
          <w:rFonts w:ascii="Arial" w:cs="Arial" w:eastAsia="Arial" w:hAnsi="Arial"/>
          <w:sz w:val="18"/>
          <w:szCs w:val="18"/>
          <w:color w:val="212121"/>
        </w:rPr>
        <w:t xml:space="preserve"> Executive shall continue to serve as a member of the Board of Directors and as Chairman of the Board following the Transition Completion Date.</w:t>
      </w:r>
    </w:p>
    <w:p>
      <w:pPr>
        <w:spacing w:after="0" w:line="2" w:lineRule="exact"/>
        <w:rPr>
          <w:rFonts w:ascii="Arial" w:cs="Arial" w:eastAsia="Arial" w:hAnsi="Arial"/>
          <w:sz w:val="18"/>
          <w:szCs w:val="18"/>
          <w:color w:val="auto"/>
        </w:rPr>
      </w:pPr>
    </w:p>
    <w:p>
      <w:pPr>
        <w:jc w:val="both"/>
        <w:ind w:left="968" w:hanging="320"/>
        <w:spacing w:after="0" w:line="219" w:lineRule="auto"/>
        <w:tabs>
          <w:tab w:leader="none" w:pos="968" w:val="left"/>
        </w:tabs>
        <w:numPr>
          <w:ilvl w:val="1"/>
          <w:numId w:val="20"/>
        </w:numPr>
        <w:rPr>
          <w:rFonts w:ascii="Arial" w:cs="Arial" w:eastAsia="Arial" w:hAnsi="Arial"/>
          <w:sz w:val="18"/>
          <w:szCs w:val="18"/>
          <w:color w:val="auto"/>
        </w:rPr>
      </w:pPr>
      <w:r>
        <w:rPr>
          <w:rFonts w:ascii="Arial" w:cs="Arial" w:eastAsia="Arial" w:hAnsi="Arial"/>
          <w:sz w:val="18"/>
          <w:szCs w:val="18"/>
          <w:color w:val="212121"/>
        </w:rPr>
        <w:t>Following the Transition Completion Date</w:t>
      </w:r>
      <w:r>
        <w:rPr>
          <w:rFonts w:ascii="Arial" w:cs="Arial" w:eastAsia="Arial" w:hAnsi="Arial"/>
          <w:sz w:val="18"/>
          <w:szCs w:val="18"/>
          <w:color w:val="3F3F3F"/>
        </w:rPr>
        <w:t>,</w:t>
      </w:r>
      <w:r>
        <w:rPr>
          <w:rFonts w:ascii="Arial" w:cs="Arial" w:eastAsia="Arial" w:hAnsi="Arial"/>
          <w:sz w:val="18"/>
          <w:szCs w:val="18"/>
          <w:color w:val="212121"/>
        </w:rPr>
        <w:t xml:space="preserve"> Executive will be compensated as a non-employee director under the Company's non-employee director compensation policies</w:t>
      </w:r>
      <w:r>
        <w:rPr>
          <w:rFonts w:ascii="Arial" w:cs="Arial" w:eastAsia="Arial" w:hAnsi="Arial"/>
          <w:sz w:val="18"/>
          <w:szCs w:val="18"/>
          <w:color w:val="4F4F50"/>
        </w:rPr>
        <w:t>,</w:t>
      </w:r>
      <w:r>
        <w:rPr>
          <w:rFonts w:ascii="Arial" w:cs="Arial" w:eastAsia="Arial" w:hAnsi="Arial"/>
          <w:sz w:val="18"/>
          <w:szCs w:val="18"/>
          <w:color w:val="212121"/>
        </w:rPr>
        <w:t xml:space="preserve"> including cash retainers for service as a Board member and Chairman of the Board</w:t>
      </w:r>
      <w:r>
        <w:rPr>
          <w:rFonts w:ascii="Arial" w:cs="Arial" w:eastAsia="Arial" w:hAnsi="Arial"/>
          <w:sz w:val="18"/>
          <w:szCs w:val="18"/>
          <w:color w:val="4F4F50"/>
        </w:rPr>
        <w:t>,</w:t>
      </w:r>
      <w:r>
        <w:rPr>
          <w:rFonts w:ascii="Arial" w:cs="Arial" w:eastAsia="Arial" w:hAnsi="Arial"/>
          <w:sz w:val="18"/>
          <w:szCs w:val="18"/>
          <w:color w:val="212121"/>
        </w:rPr>
        <w:t xml:space="preserve"> and annual equity awards commencing at the 2022 annual meeting of stockholders.</w:t>
      </w:r>
    </w:p>
    <w:p>
      <w:pPr>
        <w:jc w:val="both"/>
        <w:ind w:left="968" w:hanging="320"/>
        <w:spacing w:after="0" w:line="219" w:lineRule="auto"/>
        <w:tabs>
          <w:tab w:leader="none" w:pos="958" w:val="left"/>
        </w:tabs>
        <w:numPr>
          <w:ilvl w:val="1"/>
          <w:numId w:val="20"/>
        </w:numPr>
        <w:rPr>
          <w:rFonts w:ascii="Arial" w:cs="Arial" w:eastAsia="Arial" w:hAnsi="Arial"/>
          <w:sz w:val="18"/>
          <w:szCs w:val="18"/>
          <w:color w:val="auto"/>
        </w:rPr>
      </w:pPr>
      <w:r>
        <w:rPr>
          <w:rFonts w:ascii="Arial" w:cs="Arial" w:eastAsia="Arial" w:hAnsi="Arial"/>
          <w:sz w:val="18"/>
          <w:szCs w:val="18"/>
          <w:color w:val="212121"/>
        </w:rPr>
        <w:t>Effective as of the end of the business day on the Transition Completion Date</w:t>
      </w:r>
      <w:r>
        <w:rPr>
          <w:rFonts w:ascii="Arial" w:cs="Arial" w:eastAsia="Arial" w:hAnsi="Arial"/>
          <w:sz w:val="18"/>
          <w:szCs w:val="18"/>
          <w:color w:val="4F4F50"/>
        </w:rPr>
        <w:t>,</w:t>
      </w:r>
      <w:r>
        <w:rPr>
          <w:rFonts w:ascii="Arial" w:cs="Arial" w:eastAsia="Arial" w:hAnsi="Arial"/>
          <w:sz w:val="18"/>
          <w:szCs w:val="18"/>
          <w:color w:val="212121"/>
        </w:rPr>
        <w:t xml:space="preserve"> Executive shall be deemed to have resigned from all offices and directorships</w:t>
      </w:r>
      <w:r>
        <w:rPr>
          <w:rFonts w:ascii="Arial" w:cs="Arial" w:eastAsia="Arial" w:hAnsi="Arial"/>
          <w:sz w:val="18"/>
          <w:szCs w:val="18"/>
          <w:color w:val="3F3F3F"/>
        </w:rPr>
        <w:t>,</w:t>
      </w:r>
      <w:r>
        <w:rPr>
          <w:rFonts w:ascii="Arial" w:cs="Arial" w:eastAsia="Arial" w:hAnsi="Arial"/>
          <w:sz w:val="18"/>
          <w:szCs w:val="18"/>
          <w:color w:val="212121"/>
        </w:rPr>
        <w:t xml:space="preserve"> if any</w:t>
      </w:r>
      <w:r>
        <w:rPr>
          <w:rFonts w:ascii="Arial" w:cs="Arial" w:eastAsia="Arial" w:hAnsi="Arial"/>
          <w:sz w:val="18"/>
          <w:szCs w:val="18"/>
          <w:color w:val="3F3F3F"/>
        </w:rPr>
        <w:t>,</w:t>
      </w:r>
      <w:r>
        <w:rPr>
          <w:rFonts w:ascii="Arial" w:cs="Arial" w:eastAsia="Arial" w:hAnsi="Arial"/>
          <w:sz w:val="18"/>
          <w:szCs w:val="18"/>
          <w:color w:val="212121"/>
        </w:rPr>
        <w:t xml:space="preserve"> then held with the Company or any of its affiliates (other than Chaiman of the Board and director of Inseego Corp</w:t>
      </w:r>
      <w:r>
        <w:rPr>
          <w:rFonts w:ascii="Arial" w:cs="Arial" w:eastAsia="Arial" w:hAnsi="Arial"/>
          <w:sz w:val="18"/>
          <w:szCs w:val="18"/>
          <w:color w:val="3F3F3F"/>
        </w:rPr>
        <w:t>.</w:t>
      </w:r>
      <w:r>
        <w:rPr>
          <w:rFonts w:ascii="Arial" w:cs="Arial" w:eastAsia="Arial" w:hAnsi="Arial"/>
          <w:sz w:val="18"/>
          <w:szCs w:val="18"/>
          <w:color w:val="212121"/>
        </w:rPr>
        <w:t>)</w:t>
      </w:r>
      <w:r>
        <w:rPr>
          <w:rFonts w:ascii="Arial" w:cs="Arial" w:eastAsia="Arial" w:hAnsi="Arial"/>
          <w:sz w:val="18"/>
          <w:szCs w:val="18"/>
          <w:color w:val="4F4F50"/>
        </w:rPr>
        <w:t>,</w:t>
      </w:r>
      <w:r>
        <w:rPr>
          <w:rFonts w:ascii="Arial" w:cs="Arial" w:eastAsia="Arial" w:hAnsi="Arial"/>
          <w:sz w:val="18"/>
          <w:szCs w:val="18"/>
          <w:color w:val="212121"/>
        </w:rPr>
        <w:t xml:space="preserve"> and</w:t>
      </w:r>
      <w:r>
        <w:rPr>
          <w:rFonts w:ascii="Arial" w:cs="Arial" w:eastAsia="Arial" w:hAnsi="Arial"/>
          <w:sz w:val="18"/>
          <w:szCs w:val="18"/>
          <w:color w:val="4F4F50"/>
        </w:rPr>
        <w:t>,</w:t>
      </w:r>
      <w:r>
        <w:rPr>
          <w:rFonts w:ascii="Arial" w:cs="Arial" w:eastAsia="Arial" w:hAnsi="Arial"/>
          <w:sz w:val="18"/>
          <w:szCs w:val="18"/>
          <w:color w:val="212121"/>
        </w:rPr>
        <w:t xml:space="preserve"> at the Company</w:t>
      </w:r>
      <w:r>
        <w:rPr>
          <w:rFonts w:ascii="Arial" w:cs="Arial" w:eastAsia="Arial" w:hAnsi="Arial"/>
          <w:sz w:val="18"/>
          <w:szCs w:val="18"/>
          <w:color w:val="3F3F3F"/>
        </w:rPr>
        <w:t>'</w:t>
      </w:r>
      <w:r>
        <w:rPr>
          <w:rFonts w:ascii="Arial" w:cs="Arial" w:eastAsia="Arial" w:hAnsi="Arial"/>
          <w:sz w:val="18"/>
          <w:szCs w:val="18"/>
          <w:color w:val="212121"/>
        </w:rPr>
        <w:t>s request</w:t>
      </w:r>
      <w:r>
        <w:rPr>
          <w:rFonts w:ascii="Arial" w:cs="Arial" w:eastAsia="Arial" w:hAnsi="Arial"/>
          <w:sz w:val="18"/>
          <w:szCs w:val="18"/>
          <w:color w:val="4F4F50"/>
        </w:rPr>
        <w:t>,</w:t>
      </w:r>
      <w:r>
        <w:rPr>
          <w:rFonts w:ascii="Arial" w:cs="Arial" w:eastAsia="Arial" w:hAnsi="Arial"/>
          <w:sz w:val="18"/>
          <w:szCs w:val="18"/>
          <w:color w:val="212121"/>
        </w:rPr>
        <w:t xml:space="preserve"> Executive shall execute such documents as are necessary or desirable to effectuate such resignations.</w:t>
      </w: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212121"/>
        </w:rPr>
        <w:t>Miscellaneous Provisions.</w:t>
      </w:r>
    </w:p>
    <w:p>
      <w:pPr>
        <w:spacing w:after="0" w:line="209" w:lineRule="exact"/>
        <w:rPr>
          <w:rFonts w:ascii="Arial" w:cs="Arial" w:eastAsia="Arial" w:hAnsi="Arial"/>
          <w:sz w:val="18"/>
          <w:szCs w:val="18"/>
          <w:color w:val="auto"/>
        </w:rPr>
      </w:pPr>
    </w:p>
    <w:p>
      <w:pPr>
        <w:jc w:val="both"/>
        <w:ind w:left="968" w:hanging="320"/>
        <w:spacing w:after="0" w:line="248" w:lineRule="auto"/>
        <w:tabs>
          <w:tab w:leader="none" w:pos="958" w:val="left"/>
        </w:tabs>
        <w:numPr>
          <w:ilvl w:val="1"/>
          <w:numId w:val="20"/>
        </w:numPr>
        <w:rPr>
          <w:rFonts w:ascii="Arial" w:cs="Arial" w:eastAsia="Arial" w:hAnsi="Arial"/>
          <w:sz w:val="16"/>
          <w:szCs w:val="16"/>
          <w:color w:val="auto"/>
        </w:rPr>
      </w:pPr>
      <w:r>
        <w:rPr>
          <w:rFonts w:ascii="Arial" w:cs="Arial" w:eastAsia="Arial" w:hAnsi="Arial"/>
          <w:sz w:val="16"/>
          <w:szCs w:val="16"/>
          <w:color w:val="212121"/>
        </w:rPr>
        <w:t>The terms of this Agreement</w:t>
      </w:r>
      <w:r>
        <w:rPr>
          <w:rFonts w:ascii="Arial" w:cs="Arial" w:eastAsia="Arial" w:hAnsi="Arial"/>
          <w:sz w:val="16"/>
          <w:szCs w:val="16"/>
          <w:color w:val="3F3F3F"/>
        </w:rPr>
        <w:t>,</w:t>
      </w:r>
      <w:r>
        <w:rPr>
          <w:rFonts w:ascii="Arial" w:cs="Arial" w:eastAsia="Arial" w:hAnsi="Arial"/>
          <w:sz w:val="16"/>
          <w:szCs w:val="16"/>
          <w:color w:val="212121"/>
        </w:rPr>
        <w:t xml:space="preserve"> collectively with the Inventions</w:t>
      </w:r>
      <w:r>
        <w:rPr>
          <w:rFonts w:ascii="Arial" w:cs="Arial" w:eastAsia="Arial" w:hAnsi="Arial"/>
          <w:sz w:val="16"/>
          <w:szCs w:val="16"/>
          <w:color w:val="3F3F3F"/>
        </w:rPr>
        <w:t>,</w:t>
      </w:r>
      <w:r>
        <w:rPr>
          <w:rFonts w:ascii="Arial" w:cs="Arial" w:eastAsia="Arial" w:hAnsi="Arial"/>
          <w:sz w:val="16"/>
          <w:szCs w:val="16"/>
          <w:color w:val="212121"/>
        </w:rPr>
        <w:t xml:space="preserve"> Disclosure</w:t>
      </w:r>
      <w:r>
        <w:rPr>
          <w:rFonts w:ascii="Arial" w:cs="Arial" w:eastAsia="Arial" w:hAnsi="Arial"/>
          <w:sz w:val="16"/>
          <w:szCs w:val="16"/>
          <w:color w:val="4F4F50"/>
        </w:rPr>
        <w:t>,</w:t>
      </w:r>
      <w:r>
        <w:rPr>
          <w:rFonts w:ascii="Arial" w:cs="Arial" w:eastAsia="Arial" w:hAnsi="Arial"/>
          <w:sz w:val="16"/>
          <w:szCs w:val="16"/>
          <w:color w:val="212121"/>
        </w:rPr>
        <w:t xml:space="preserve"> Confidentiality &amp; Proprietary Rights Agreement between the Company and Executive entered into on or about June 6</w:t>
      </w:r>
      <w:r>
        <w:rPr>
          <w:rFonts w:ascii="Arial" w:cs="Arial" w:eastAsia="Arial" w:hAnsi="Arial"/>
          <w:sz w:val="16"/>
          <w:szCs w:val="16"/>
          <w:color w:val="3F3F3F"/>
        </w:rPr>
        <w:t>,</w:t>
      </w:r>
      <w:r>
        <w:rPr>
          <w:rFonts w:ascii="Arial" w:cs="Arial" w:eastAsia="Arial" w:hAnsi="Arial"/>
          <w:sz w:val="16"/>
          <w:szCs w:val="16"/>
          <w:color w:val="212121"/>
        </w:rPr>
        <w:t xml:space="preserve"> 2017 (the </w:t>
      </w:r>
      <w:r>
        <w:rPr>
          <w:rFonts w:ascii="Arial" w:cs="Arial" w:eastAsia="Arial" w:hAnsi="Arial"/>
          <w:sz w:val="16"/>
          <w:szCs w:val="16"/>
          <w:u w:val="single" w:color="auto"/>
          <w:color w:val="212121"/>
        </w:rPr>
        <w:t>"Confidentiality Agreement</w:t>
      </w:r>
      <w:r>
        <w:rPr>
          <w:rFonts w:ascii="Arial" w:cs="Arial" w:eastAsia="Arial" w:hAnsi="Arial"/>
          <w:sz w:val="16"/>
          <w:szCs w:val="16"/>
          <w:u w:val="single" w:color="auto"/>
          <w:color w:val="3F3F3F"/>
        </w:rPr>
        <w:t>"</w:t>
      </w:r>
      <w:r>
        <w:rPr>
          <w:rFonts w:ascii="Arial" w:cs="Arial" w:eastAsia="Arial" w:hAnsi="Arial"/>
          <w:sz w:val="16"/>
          <w:szCs w:val="16"/>
          <w:u w:val="single" w:color="auto"/>
          <w:color w:val="212121"/>
        </w:rPr>
        <w:t>)</w:t>
      </w:r>
      <w:r>
        <w:rPr>
          <w:rFonts w:ascii="Arial" w:cs="Arial" w:eastAsia="Arial" w:hAnsi="Arial"/>
          <w:sz w:val="16"/>
          <w:szCs w:val="16"/>
          <w:color w:val="3F3F3F"/>
        </w:rPr>
        <w:t>,</w:t>
      </w:r>
      <w:r>
        <w:rPr>
          <w:rFonts w:ascii="Arial" w:cs="Arial" w:eastAsia="Arial" w:hAnsi="Arial"/>
          <w:sz w:val="16"/>
          <w:szCs w:val="16"/>
          <w:color w:val="212121"/>
        </w:rPr>
        <w:t xml:space="preserve"> and the Indemnification Agreement between the Company and Executive entered into on or about June 6</w:t>
      </w:r>
      <w:r>
        <w:rPr>
          <w:rFonts w:ascii="Arial" w:cs="Arial" w:eastAsia="Arial" w:hAnsi="Arial"/>
          <w:sz w:val="16"/>
          <w:szCs w:val="16"/>
          <w:color w:val="3F3F3F"/>
        </w:rPr>
        <w:t>,</w:t>
      </w:r>
      <w:r>
        <w:rPr>
          <w:rFonts w:ascii="Arial" w:cs="Arial" w:eastAsia="Arial" w:hAnsi="Arial"/>
          <w:sz w:val="16"/>
          <w:szCs w:val="16"/>
          <w:color w:val="212121"/>
        </w:rPr>
        <w:t xml:space="preserve"> 2017 (the </w:t>
      </w:r>
      <w:r>
        <w:rPr>
          <w:rFonts w:ascii="Arial" w:cs="Arial" w:eastAsia="Arial" w:hAnsi="Arial"/>
          <w:sz w:val="16"/>
          <w:szCs w:val="16"/>
          <w:u w:val="single" w:color="auto"/>
          <w:color w:val="4F4F50"/>
        </w:rPr>
        <w:t>"</w:t>
      </w:r>
      <w:r>
        <w:rPr>
          <w:rFonts w:ascii="Arial" w:cs="Arial" w:eastAsia="Arial" w:hAnsi="Arial"/>
          <w:sz w:val="16"/>
          <w:szCs w:val="16"/>
          <w:u w:val="single" w:color="auto"/>
          <w:color w:val="212121"/>
        </w:rPr>
        <w:t>Indemnification Agreement")</w:t>
      </w:r>
      <w:r>
        <w:rPr>
          <w:rFonts w:ascii="Arial" w:cs="Arial" w:eastAsia="Arial" w:hAnsi="Arial"/>
          <w:sz w:val="16"/>
          <w:szCs w:val="16"/>
          <w:color w:val="4F4F50"/>
        </w:rPr>
        <w:t>,</w:t>
      </w:r>
      <w:r>
        <w:rPr>
          <w:rFonts w:ascii="Arial" w:cs="Arial" w:eastAsia="Arial" w:hAnsi="Arial"/>
          <w:sz w:val="16"/>
          <w:szCs w:val="16"/>
          <w:color w:val="212121"/>
        </w:rPr>
        <w:t xml:space="preserve"> is intended b</w:t>
      </w:r>
      <w:r>
        <w:rPr>
          <w:rFonts w:ascii="Arial" w:cs="Arial" w:eastAsia="Arial" w:hAnsi="Arial"/>
          <w:sz w:val="16"/>
          <w:szCs w:val="16"/>
          <w:color w:val="3F3F3F"/>
        </w:rPr>
        <w:t>y</w:t>
      </w:r>
      <w:r>
        <w:rPr>
          <w:rFonts w:ascii="Arial" w:cs="Arial" w:eastAsia="Arial" w:hAnsi="Arial"/>
          <w:sz w:val="16"/>
          <w:szCs w:val="16"/>
          <w:color w:val="212121"/>
        </w:rPr>
        <w:t xml:space="preserve"> the Parties to be the final expression of their agreement with respect to the employment of Executive by the Company and supersede all prior understandings and agreements with respect to employment or severance (but not the Confidentiality Agreement or the Indemnification Agreement)</w:t>
      </w:r>
      <w:r>
        <w:rPr>
          <w:rFonts w:ascii="Arial" w:cs="Arial" w:eastAsia="Arial" w:hAnsi="Arial"/>
          <w:sz w:val="16"/>
          <w:szCs w:val="16"/>
          <w:color w:val="4F4F50"/>
        </w:rPr>
        <w:t>,</w:t>
      </w:r>
      <w:r>
        <w:rPr>
          <w:rFonts w:ascii="Arial" w:cs="Arial" w:eastAsia="Arial" w:hAnsi="Arial"/>
          <w:sz w:val="16"/>
          <w:szCs w:val="16"/>
          <w:color w:val="212121"/>
        </w:rPr>
        <w:t xml:space="preserve"> whether written or oral, including the Change in Control and Severance Agreement</w:t>
      </w:r>
      <w:r>
        <w:rPr>
          <w:rFonts w:ascii="Arial" w:cs="Arial" w:eastAsia="Arial" w:hAnsi="Arial"/>
          <w:sz w:val="16"/>
          <w:szCs w:val="16"/>
          <w:color w:val="3F3F3F"/>
        </w:rPr>
        <w:t>,</w:t>
      </w:r>
      <w:r>
        <w:rPr>
          <w:rFonts w:ascii="Arial" w:cs="Arial" w:eastAsia="Arial" w:hAnsi="Arial"/>
          <w:sz w:val="16"/>
          <w:szCs w:val="16"/>
          <w:color w:val="212121"/>
        </w:rPr>
        <w:t xml:space="preserve"> dated June 6</w:t>
      </w:r>
      <w:r>
        <w:rPr>
          <w:rFonts w:ascii="Arial" w:cs="Arial" w:eastAsia="Arial" w:hAnsi="Arial"/>
          <w:sz w:val="16"/>
          <w:szCs w:val="16"/>
          <w:color w:val="4F4F50"/>
        </w:rPr>
        <w:t>,</w:t>
      </w:r>
      <w:r>
        <w:rPr>
          <w:rFonts w:ascii="Arial" w:cs="Arial" w:eastAsia="Arial" w:hAnsi="Arial"/>
          <w:sz w:val="16"/>
          <w:szCs w:val="16"/>
          <w:color w:val="212121"/>
        </w:rPr>
        <w:t xml:space="preserve"> 2018</w:t>
      </w:r>
      <w:r>
        <w:rPr>
          <w:rFonts w:ascii="Arial" w:cs="Arial" w:eastAsia="Arial" w:hAnsi="Arial"/>
          <w:sz w:val="16"/>
          <w:szCs w:val="16"/>
          <w:color w:val="4F4F50"/>
        </w:rPr>
        <w:t>,</w:t>
      </w:r>
      <w:r>
        <w:rPr>
          <w:rFonts w:ascii="Arial" w:cs="Arial" w:eastAsia="Arial" w:hAnsi="Arial"/>
          <w:sz w:val="16"/>
          <w:szCs w:val="16"/>
          <w:color w:val="212121"/>
        </w:rPr>
        <w:t xml:space="preserve"> Offer Letter dated June 6</w:t>
      </w:r>
      <w:r>
        <w:rPr>
          <w:rFonts w:ascii="Arial" w:cs="Arial" w:eastAsia="Arial" w:hAnsi="Arial"/>
          <w:sz w:val="16"/>
          <w:szCs w:val="16"/>
          <w:color w:val="3F3F3F"/>
        </w:rPr>
        <w:t>,</w:t>
      </w:r>
      <w:r>
        <w:rPr>
          <w:rFonts w:ascii="Arial" w:cs="Arial" w:eastAsia="Arial" w:hAnsi="Arial"/>
          <w:sz w:val="16"/>
          <w:szCs w:val="16"/>
          <w:color w:val="212121"/>
        </w:rPr>
        <w:t xml:space="preserve"> 2017 (as amended by an Amendment to Offer Letter dated October 26</w:t>
      </w:r>
      <w:r>
        <w:rPr>
          <w:rFonts w:ascii="Arial" w:cs="Arial" w:eastAsia="Arial" w:hAnsi="Arial"/>
          <w:sz w:val="16"/>
          <w:szCs w:val="16"/>
          <w:color w:val="3F3F3F"/>
        </w:rPr>
        <w:t>,</w:t>
      </w:r>
      <w:r>
        <w:rPr>
          <w:rFonts w:ascii="Arial" w:cs="Arial" w:eastAsia="Arial" w:hAnsi="Arial"/>
          <w:sz w:val="16"/>
          <w:szCs w:val="16"/>
          <w:color w:val="212121"/>
        </w:rPr>
        <w:t xml:space="preserve"> 2017) and the Amended and Restated Change in Control and Severance Agreement date June 7</w:t>
      </w:r>
      <w:r>
        <w:rPr>
          <w:rFonts w:ascii="Arial" w:cs="Arial" w:eastAsia="Arial" w:hAnsi="Arial"/>
          <w:sz w:val="16"/>
          <w:szCs w:val="16"/>
          <w:color w:val="4F4F50"/>
        </w:rPr>
        <w:t>,</w:t>
      </w:r>
      <w:r>
        <w:rPr>
          <w:rFonts w:ascii="Arial" w:cs="Arial" w:eastAsia="Arial" w:hAnsi="Arial"/>
          <w:sz w:val="16"/>
          <w:szCs w:val="16"/>
          <w:color w:val="212121"/>
        </w:rPr>
        <w:t xml:space="preserve"> 2021</w:t>
      </w:r>
      <w:r>
        <w:rPr>
          <w:rFonts w:ascii="Arial" w:cs="Arial" w:eastAsia="Arial" w:hAnsi="Arial"/>
          <w:sz w:val="16"/>
          <w:szCs w:val="16"/>
          <w:color w:val="3F3F3F"/>
        </w:rPr>
        <w:t>.</w:t>
      </w:r>
      <w:r>
        <w:rPr>
          <w:rFonts w:ascii="Arial" w:cs="Arial" w:eastAsia="Arial" w:hAnsi="Arial"/>
          <w:sz w:val="16"/>
          <w:szCs w:val="16"/>
          <w:color w:val="212121"/>
        </w:rPr>
        <w:t xml:space="preserve"> The parties further intend that this Agreement</w:t>
      </w:r>
      <w:r>
        <w:rPr>
          <w:rFonts w:ascii="Arial" w:cs="Arial" w:eastAsia="Arial" w:hAnsi="Arial"/>
          <w:sz w:val="16"/>
          <w:szCs w:val="16"/>
          <w:color w:val="3F3F3F"/>
        </w:rPr>
        <w:t>,</w:t>
      </w:r>
      <w:r>
        <w:rPr>
          <w:rFonts w:ascii="Arial" w:cs="Arial" w:eastAsia="Arial" w:hAnsi="Arial"/>
          <w:sz w:val="16"/>
          <w:szCs w:val="16"/>
          <w:color w:val="212121"/>
        </w:rPr>
        <w:t xml:space="preserve"> collectively with the Confidentiality Agreement</w:t>
      </w:r>
      <w:r>
        <w:rPr>
          <w:rFonts w:ascii="Arial" w:cs="Arial" w:eastAsia="Arial" w:hAnsi="Arial"/>
          <w:sz w:val="16"/>
          <w:szCs w:val="16"/>
          <w:color w:val="3F3F3F"/>
        </w:rPr>
        <w:t>,</w:t>
      </w:r>
      <w:r>
        <w:rPr>
          <w:rFonts w:ascii="Arial" w:cs="Arial" w:eastAsia="Arial" w:hAnsi="Arial"/>
          <w:sz w:val="16"/>
          <w:szCs w:val="16"/>
          <w:color w:val="212121"/>
        </w:rPr>
        <w:t xml:space="preserve"> and the Indemnification Agreement</w:t>
      </w:r>
      <w:r>
        <w:rPr>
          <w:rFonts w:ascii="Arial" w:cs="Arial" w:eastAsia="Arial" w:hAnsi="Arial"/>
          <w:sz w:val="16"/>
          <w:szCs w:val="16"/>
          <w:color w:val="4F4F50"/>
        </w:rPr>
        <w:t>,</w:t>
      </w:r>
      <w:r>
        <w:rPr>
          <w:rFonts w:ascii="Arial" w:cs="Arial" w:eastAsia="Arial" w:hAnsi="Arial"/>
          <w:sz w:val="16"/>
          <w:szCs w:val="16"/>
          <w:color w:val="212121"/>
        </w:rPr>
        <w:t xml:space="preserve"> shall constitute the complete and exclusive statement of their terms and that no extrinsic evidence whatsoever may be introduced in any judicial</w:t>
      </w:r>
      <w:r>
        <w:rPr>
          <w:rFonts w:ascii="Arial" w:cs="Arial" w:eastAsia="Arial" w:hAnsi="Arial"/>
          <w:sz w:val="16"/>
          <w:szCs w:val="16"/>
          <w:color w:val="3F3F3F"/>
        </w:rPr>
        <w:t>,</w:t>
      </w:r>
      <w:r>
        <w:rPr>
          <w:rFonts w:ascii="Arial" w:cs="Arial" w:eastAsia="Arial" w:hAnsi="Arial"/>
          <w:sz w:val="16"/>
          <w:szCs w:val="16"/>
          <w:color w:val="212121"/>
        </w:rPr>
        <w:t xml:space="preserve"> administrative</w:t>
      </w:r>
      <w:r>
        <w:rPr>
          <w:rFonts w:ascii="Arial" w:cs="Arial" w:eastAsia="Arial" w:hAnsi="Arial"/>
          <w:sz w:val="16"/>
          <w:szCs w:val="16"/>
          <w:color w:val="3F3F3F"/>
        </w:rPr>
        <w:t>,</w:t>
      </w:r>
      <w:r>
        <w:rPr>
          <w:rFonts w:ascii="Arial" w:cs="Arial" w:eastAsia="Arial" w:hAnsi="Arial"/>
          <w:sz w:val="16"/>
          <w:szCs w:val="16"/>
          <w:color w:val="212121"/>
        </w:rPr>
        <w:t xml:space="preserve"> or other legal proceeding to vary the terms of this Agreement. For the avoidance of doubt</w:t>
      </w:r>
      <w:r>
        <w:rPr>
          <w:rFonts w:ascii="Arial" w:cs="Arial" w:eastAsia="Arial" w:hAnsi="Arial"/>
          <w:sz w:val="16"/>
          <w:szCs w:val="16"/>
          <w:color w:val="4F4F50"/>
        </w:rPr>
        <w:t>,</w:t>
      </w:r>
      <w:r>
        <w:rPr>
          <w:rFonts w:ascii="Arial" w:cs="Arial" w:eastAsia="Arial" w:hAnsi="Arial"/>
          <w:sz w:val="16"/>
          <w:szCs w:val="16"/>
          <w:color w:val="212121"/>
        </w:rPr>
        <w:t xml:space="preserve"> the parties agree that the following remain in full force and effect in accordance with their terms and shall remain unaffected by virtue of this Agreement:(a) Executive's surviving rights and obligations under the Confidentiality Agreement and this Agreement</w:t>
      </w:r>
      <w:r>
        <w:rPr>
          <w:rFonts w:ascii="Arial" w:cs="Arial" w:eastAsia="Arial" w:hAnsi="Arial"/>
          <w:sz w:val="16"/>
          <w:szCs w:val="16"/>
          <w:color w:val="3F3F3F"/>
        </w:rPr>
        <w:t>;</w:t>
      </w:r>
      <w:r>
        <w:rPr>
          <w:rFonts w:ascii="Arial" w:cs="Arial" w:eastAsia="Arial" w:hAnsi="Arial"/>
          <w:sz w:val="16"/>
          <w:szCs w:val="16"/>
          <w:color w:val="212121"/>
        </w:rPr>
        <w:t xml:space="preserve"> (ii) Executive's rights with respect to outstanding awards pursuant to the 2018 Incentive Plan (as modified by this Agreement)</w:t>
      </w:r>
      <w:r>
        <w:rPr>
          <w:rFonts w:ascii="Arial" w:cs="Arial" w:eastAsia="Arial" w:hAnsi="Arial"/>
          <w:sz w:val="16"/>
          <w:szCs w:val="16"/>
          <w:color w:val="4F4F50"/>
        </w:rPr>
        <w:t>;</w:t>
      </w:r>
      <w:r>
        <w:rPr>
          <w:rFonts w:ascii="Arial" w:cs="Arial" w:eastAsia="Arial" w:hAnsi="Arial"/>
          <w:sz w:val="16"/>
          <w:szCs w:val="16"/>
          <w:color w:val="212121"/>
        </w:rPr>
        <w:t xml:space="preserve"> and (iii) Executive's rights under the Indemnification Agreement.</w:t>
      </w:r>
    </w:p>
    <w:p>
      <w:pPr>
        <w:jc w:val="both"/>
        <w:ind w:left="968" w:hanging="320"/>
        <w:spacing w:after="0" w:line="218" w:lineRule="auto"/>
        <w:tabs>
          <w:tab w:leader="none" w:pos="968" w:val="left"/>
        </w:tabs>
        <w:numPr>
          <w:ilvl w:val="1"/>
          <w:numId w:val="20"/>
        </w:numPr>
        <w:rPr>
          <w:rFonts w:ascii="Arial" w:cs="Arial" w:eastAsia="Arial" w:hAnsi="Arial"/>
          <w:sz w:val="18"/>
          <w:szCs w:val="18"/>
          <w:color w:val="auto"/>
        </w:rPr>
      </w:pPr>
      <w:r>
        <w:rPr>
          <w:rFonts w:ascii="Arial" w:cs="Arial" w:eastAsia="Arial" w:hAnsi="Arial"/>
          <w:sz w:val="18"/>
          <w:szCs w:val="18"/>
          <w:color w:val="212121"/>
        </w:rPr>
        <w:t>This Agreement may be amended or modified only by an agreement in writing. If any provision of this Agreement is determined to be invalid or otherwise unenforceable</w:t>
      </w:r>
      <w:r>
        <w:rPr>
          <w:rFonts w:ascii="Arial" w:cs="Arial" w:eastAsia="Arial" w:hAnsi="Arial"/>
          <w:sz w:val="18"/>
          <w:szCs w:val="18"/>
          <w:color w:val="3F3F3F"/>
        </w:rPr>
        <w:t>,</w:t>
      </w:r>
      <w:r>
        <w:rPr>
          <w:rFonts w:ascii="Arial" w:cs="Arial" w:eastAsia="Arial" w:hAnsi="Arial"/>
          <w:sz w:val="18"/>
          <w:szCs w:val="18"/>
          <w:color w:val="212121"/>
        </w:rPr>
        <w:t xml:space="preserve"> then that invalidity or unenforceability shall not affect any other provision of this Agreement</w:t>
      </w:r>
      <w:r>
        <w:rPr>
          <w:rFonts w:ascii="Arial" w:cs="Arial" w:eastAsia="Arial" w:hAnsi="Arial"/>
          <w:sz w:val="18"/>
          <w:szCs w:val="18"/>
          <w:color w:val="4F4F50"/>
        </w:rPr>
        <w:t>,</w:t>
      </w:r>
      <w:r>
        <w:rPr>
          <w:rFonts w:ascii="Arial" w:cs="Arial" w:eastAsia="Arial" w:hAnsi="Arial"/>
          <w:sz w:val="18"/>
          <w:szCs w:val="18"/>
          <w:color w:val="212121"/>
        </w:rPr>
        <w:t xml:space="preserve"> which shall continue and remain in full force and effect.</w:t>
      </w:r>
    </w:p>
    <w:p>
      <w:pPr>
        <w:spacing w:after="0" w:line="189" w:lineRule="exact"/>
        <w:rPr>
          <w:sz w:val="20"/>
          <w:szCs w:val="20"/>
          <w:color w:val="auto"/>
        </w:rPr>
      </w:pPr>
    </w:p>
    <w:p>
      <w:pPr>
        <w:jc w:val="both"/>
        <w:ind w:left="968" w:hanging="320"/>
        <w:spacing w:after="0" w:line="223" w:lineRule="auto"/>
        <w:tabs>
          <w:tab w:leader="none" w:pos="958" w:val="left"/>
        </w:tabs>
        <w:numPr>
          <w:ilvl w:val="0"/>
          <w:numId w:val="21"/>
        </w:numPr>
        <w:rPr>
          <w:rFonts w:ascii="Arial" w:cs="Arial" w:eastAsia="Arial" w:hAnsi="Arial"/>
          <w:sz w:val="18"/>
          <w:szCs w:val="18"/>
          <w:color w:val="auto"/>
        </w:rPr>
      </w:pPr>
      <w:r>
        <w:rPr>
          <w:rFonts w:ascii="Arial" w:cs="Arial" w:eastAsia="Arial" w:hAnsi="Arial"/>
          <w:sz w:val="18"/>
          <w:szCs w:val="18"/>
          <w:color w:val="282826"/>
        </w:rPr>
        <w:t>Executive specifically represents, warrants</w:t>
      </w:r>
      <w:r>
        <w:rPr>
          <w:rFonts w:ascii="Arial" w:cs="Arial" w:eastAsia="Arial" w:hAnsi="Arial"/>
          <w:sz w:val="18"/>
          <w:szCs w:val="18"/>
          <w:color w:val="524F4F"/>
        </w:rPr>
        <w:t>,</w:t>
      </w:r>
      <w:r>
        <w:rPr>
          <w:rFonts w:ascii="Arial" w:cs="Arial" w:eastAsia="Arial" w:hAnsi="Arial"/>
          <w:sz w:val="18"/>
          <w:szCs w:val="18"/>
          <w:color w:val="282826"/>
        </w:rPr>
        <w:t xml:space="preserve"> and confirms that as of the Effective Date he: (is) has not filed any claims</w:t>
      </w:r>
      <w:r>
        <w:rPr>
          <w:rFonts w:ascii="Arial" w:cs="Arial" w:eastAsia="Arial" w:hAnsi="Arial"/>
          <w:sz w:val="18"/>
          <w:szCs w:val="18"/>
          <w:color w:val="524F4F"/>
        </w:rPr>
        <w:t>,</w:t>
      </w:r>
      <w:r>
        <w:rPr>
          <w:rFonts w:ascii="Arial" w:cs="Arial" w:eastAsia="Arial" w:hAnsi="Arial"/>
          <w:sz w:val="18"/>
          <w:szCs w:val="18"/>
          <w:color w:val="282826"/>
        </w:rPr>
        <w:t xml:space="preserve"> complaints</w:t>
      </w:r>
      <w:r>
        <w:rPr>
          <w:rFonts w:ascii="Arial" w:cs="Arial" w:eastAsia="Arial" w:hAnsi="Arial"/>
          <w:sz w:val="18"/>
          <w:szCs w:val="18"/>
          <w:color w:val="524F4F"/>
        </w:rPr>
        <w:t>,</w:t>
      </w:r>
      <w:r>
        <w:rPr>
          <w:rFonts w:ascii="Arial" w:cs="Arial" w:eastAsia="Arial" w:hAnsi="Arial"/>
          <w:sz w:val="18"/>
          <w:szCs w:val="18"/>
          <w:color w:val="282826"/>
        </w:rPr>
        <w:t xml:space="preserve"> or actions of any kind against lnseego </w:t>
      </w:r>
      <w:r>
        <w:rPr>
          <w:rFonts w:ascii="Arial" w:cs="Arial" w:eastAsia="Arial" w:hAnsi="Arial"/>
          <w:sz w:val="18"/>
          <w:szCs w:val="18"/>
          <w:color w:val="383636"/>
        </w:rPr>
        <w:t>with</w:t>
      </w:r>
      <w:r>
        <w:rPr>
          <w:rFonts w:ascii="Arial" w:cs="Arial" w:eastAsia="Arial" w:hAnsi="Arial"/>
          <w:sz w:val="18"/>
          <w:szCs w:val="18"/>
          <w:color w:val="282826"/>
        </w:rPr>
        <w:t xml:space="preserve"> any federal</w:t>
      </w:r>
      <w:r>
        <w:rPr>
          <w:rFonts w:ascii="Arial" w:cs="Arial" w:eastAsia="Arial" w:hAnsi="Arial"/>
          <w:sz w:val="18"/>
          <w:szCs w:val="18"/>
          <w:color w:val="524F4F"/>
        </w:rPr>
        <w:t>,</w:t>
      </w:r>
      <w:r>
        <w:rPr>
          <w:rFonts w:ascii="Arial" w:cs="Arial" w:eastAsia="Arial" w:hAnsi="Arial"/>
          <w:sz w:val="18"/>
          <w:szCs w:val="18"/>
          <w:color w:val="282826"/>
        </w:rPr>
        <w:t xml:space="preserve"> state, or local court or government or administrative agency</w:t>
      </w:r>
      <w:r>
        <w:rPr>
          <w:rFonts w:ascii="Arial" w:cs="Arial" w:eastAsia="Arial" w:hAnsi="Arial"/>
          <w:sz w:val="18"/>
          <w:szCs w:val="18"/>
          <w:color w:val="524F4F"/>
        </w:rPr>
        <w:t>;</w:t>
      </w:r>
      <w:r>
        <w:rPr>
          <w:rFonts w:ascii="Arial" w:cs="Arial" w:eastAsia="Arial" w:hAnsi="Arial"/>
          <w:sz w:val="18"/>
          <w:szCs w:val="18"/>
          <w:color w:val="282826"/>
        </w:rPr>
        <w:t xml:space="preserve"> </w:t>
      </w:r>
      <w:r>
        <w:rPr>
          <w:rFonts w:ascii="Arial" w:cs="Arial" w:eastAsia="Arial" w:hAnsi="Arial"/>
          <w:sz w:val="18"/>
          <w:szCs w:val="18"/>
          <w:color w:val="383636"/>
        </w:rPr>
        <w:t>(ii)</w:t>
      </w:r>
      <w:r>
        <w:rPr>
          <w:rFonts w:ascii="Arial" w:cs="Arial" w:eastAsia="Arial" w:hAnsi="Arial"/>
          <w:sz w:val="18"/>
          <w:szCs w:val="18"/>
          <w:color w:val="282826"/>
        </w:rPr>
        <w:t xml:space="preserve"> does not have any claims or causes of action of any kind against Inseego arising out of his offer of employment</w:t>
      </w:r>
      <w:r>
        <w:rPr>
          <w:rFonts w:ascii="Arial" w:cs="Arial" w:eastAsia="Arial" w:hAnsi="Arial"/>
          <w:sz w:val="18"/>
          <w:szCs w:val="18"/>
          <w:color w:val="524F4F"/>
        </w:rPr>
        <w:t>,</w:t>
      </w:r>
      <w:r>
        <w:rPr>
          <w:rFonts w:ascii="Arial" w:cs="Arial" w:eastAsia="Arial" w:hAnsi="Arial"/>
          <w:sz w:val="18"/>
          <w:szCs w:val="18"/>
          <w:color w:val="282826"/>
        </w:rPr>
        <w:t xml:space="preserve"> employment</w:t>
      </w:r>
      <w:r>
        <w:rPr>
          <w:rFonts w:ascii="Arial" w:cs="Arial" w:eastAsia="Arial" w:hAnsi="Arial"/>
          <w:sz w:val="18"/>
          <w:szCs w:val="18"/>
          <w:color w:val="676464"/>
        </w:rPr>
        <w:t>,</w:t>
      </w:r>
      <w:r>
        <w:rPr>
          <w:rFonts w:ascii="Arial" w:cs="Arial" w:eastAsia="Arial" w:hAnsi="Arial"/>
          <w:sz w:val="18"/>
          <w:szCs w:val="18"/>
          <w:color w:val="282826"/>
        </w:rPr>
        <w:t xml:space="preserve"> or the termination or </w:t>
      </w:r>
      <w:r>
        <w:rPr>
          <w:rFonts w:ascii="Arial" w:cs="Arial" w:eastAsia="Arial" w:hAnsi="Arial"/>
          <w:sz w:val="18"/>
          <w:szCs w:val="18"/>
          <w:color w:val="383636"/>
        </w:rPr>
        <w:t xml:space="preserve">separation </w:t>
      </w:r>
      <w:r>
        <w:rPr>
          <w:rFonts w:ascii="Arial" w:cs="Arial" w:eastAsia="Arial" w:hAnsi="Arial"/>
          <w:sz w:val="18"/>
          <w:szCs w:val="18"/>
          <w:color w:val="282826"/>
        </w:rPr>
        <w:t>of his employment with Inseego.</w:t>
      </w:r>
    </w:p>
    <w:p>
      <w:pPr>
        <w:spacing w:after="0" w:line="2" w:lineRule="exact"/>
        <w:rPr>
          <w:rFonts w:ascii="Arial" w:cs="Arial" w:eastAsia="Arial" w:hAnsi="Arial"/>
          <w:sz w:val="18"/>
          <w:szCs w:val="18"/>
          <w:color w:val="auto"/>
        </w:rPr>
      </w:pPr>
    </w:p>
    <w:p>
      <w:pPr>
        <w:jc w:val="both"/>
        <w:ind w:left="968" w:hanging="320"/>
        <w:spacing w:after="0" w:line="231" w:lineRule="auto"/>
        <w:tabs>
          <w:tab w:leader="none" w:pos="968" w:val="left"/>
        </w:tabs>
        <w:numPr>
          <w:ilvl w:val="0"/>
          <w:numId w:val="21"/>
        </w:numPr>
        <w:rPr>
          <w:rFonts w:ascii="Arial" w:cs="Arial" w:eastAsia="Arial" w:hAnsi="Arial"/>
          <w:sz w:val="17"/>
          <w:szCs w:val="17"/>
          <w:color w:val="auto"/>
        </w:rPr>
      </w:pPr>
      <w:r>
        <w:rPr>
          <w:rFonts w:ascii="Arial" w:cs="Arial" w:eastAsia="Arial" w:hAnsi="Arial"/>
          <w:sz w:val="17"/>
          <w:szCs w:val="17"/>
          <w:color w:val="282826"/>
        </w:rPr>
        <w:t>All of the terms and provisions of this Agreement shall be binding upon each of the parties hereto and shall inure to the benefit of the parties hereto, their heirs</w:t>
      </w:r>
      <w:r>
        <w:rPr>
          <w:rFonts w:ascii="Arial" w:cs="Arial" w:eastAsia="Arial" w:hAnsi="Arial"/>
          <w:sz w:val="17"/>
          <w:szCs w:val="17"/>
          <w:color w:val="524F4F"/>
        </w:rPr>
        <w:t>,</w:t>
      </w:r>
      <w:r>
        <w:rPr>
          <w:rFonts w:ascii="Arial" w:cs="Arial" w:eastAsia="Arial" w:hAnsi="Arial"/>
          <w:sz w:val="17"/>
          <w:szCs w:val="17"/>
          <w:color w:val="282826"/>
        </w:rPr>
        <w:t xml:space="preserve"> executors</w:t>
      </w:r>
      <w:r>
        <w:rPr>
          <w:rFonts w:ascii="Arial" w:cs="Arial" w:eastAsia="Arial" w:hAnsi="Arial"/>
          <w:sz w:val="17"/>
          <w:szCs w:val="17"/>
          <w:color w:val="524F4F"/>
        </w:rPr>
        <w:t>,</w:t>
      </w:r>
      <w:r>
        <w:rPr>
          <w:rFonts w:ascii="Arial" w:cs="Arial" w:eastAsia="Arial" w:hAnsi="Arial"/>
          <w:sz w:val="17"/>
          <w:szCs w:val="17"/>
          <w:color w:val="282826"/>
        </w:rPr>
        <w:t xml:space="preserve"> administrators</w:t>
      </w:r>
      <w:r>
        <w:rPr>
          <w:rFonts w:ascii="Arial" w:cs="Arial" w:eastAsia="Arial" w:hAnsi="Arial"/>
          <w:sz w:val="17"/>
          <w:szCs w:val="17"/>
          <w:color w:val="524F4F"/>
        </w:rPr>
        <w:t>,</w:t>
      </w:r>
      <w:r>
        <w:rPr>
          <w:rFonts w:ascii="Arial" w:cs="Arial" w:eastAsia="Arial" w:hAnsi="Arial"/>
          <w:sz w:val="17"/>
          <w:szCs w:val="17"/>
          <w:color w:val="282826"/>
        </w:rPr>
        <w:t xml:space="preserve"> personal representatives</w:t>
      </w:r>
      <w:r>
        <w:rPr>
          <w:rFonts w:ascii="Arial" w:cs="Arial" w:eastAsia="Arial" w:hAnsi="Arial"/>
          <w:sz w:val="17"/>
          <w:szCs w:val="17"/>
          <w:color w:val="524F4F"/>
        </w:rPr>
        <w:t>,</w:t>
      </w:r>
      <w:r>
        <w:rPr>
          <w:rFonts w:ascii="Arial" w:cs="Arial" w:eastAsia="Arial" w:hAnsi="Arial"/>
          <w:sz w:val="17"/>
          <w:szCs w:val="17"/>
          <w:color w:val="282826"/>
        </w:rPr>
        <w:t xml:space="preserve"> </w:t>
      </w:r>
      <w:r>
        <w:rPr>
          <w:rFonts w:ascii="Arial" w:cs="Arial" w:eastAsia="Arial" w:hAnsi="Arial"/>
          <w:sz w:val="17"/>
          <w:szCs w:val="17"/>
          <w:color w:val="383636"/>
        </w:rPr>
        <w:t>successors</w:t>
      </w:r>
      <w:r>
        <w:rPr>
          <w:rFonts w:ascii="Arial" w:cs="Arial" w:eastAsia="Arial" w:hAnsi="Arial"/>
          <w:sz w:val="17"/>
          <w:szCs w:val="17"/>
          <w:color w:val="282826"/>
        </w:rPr>
        <w:t xml:space="preserve"> and permitted assigns. Executive may not assign this Agreement or any right or obligation hereunder without the express and prior written consent of Inseego.</w:t>
      </w:r>
    </w:p>
    <w:p>
      <w:pPr>
        <w:spacing w:after="0" w:line="189" w:lineRule="exact"/>
        <w:rPr>
          <w:sz w:val="20"/>
          <w:szCs w:val="20"/>
          <w:color w:val="auto"/>
        </w:rPr>
      </w:pPr>
    </w:p>
    <w:p>
      <w:pPr>
        <w:ind w:left="968" w:hanging="320"/>
        <w:spacing w:after="0" w:line="235" w:lineRule="auto"/>
        <w:tabs>
          <w:tab w:leader="none" w:pos="958" w:val="left"/>
        </w:tabs>
        <w:numPr>
          <w:ilvl w:val="0"/>
          <w:numId w:val="22"/>
        </w:numPr>
        <w:rPr>
          <w:rFonts w:ascii="Arial" w:cs="Arial" w:eastAsia="Arial" w:hAnsi="Arial"/>
          <w:sz w:val="18"/>
          <w:szCs w:val="18"/>
          <w:color w:val="auto"/>
        </w:rPr>
      </w:pPr>
      <w:r>
        <w:rPr>
          <w:rFonts w:ascii="Arial" w:cs="Arial" w:eastAsia="Arial" w:hAnsi="Arial"/>
          <w:sz w:val="18"/>
          <w:szCs w:val="18"/>
          <w:color w:val="282826"/>
        </w:rPr>
        <w:t>The parties agree that this Agreement shall be construed</w:t>
      </w:r>
      <w:r>
        <w:rPr>
          <w:rFonts w:ascii="Arial" w:cs="Arial" w:eastAsia="Arial" w:hAnsi="Arial"/>
          <w:sz w:val="18"/>
          <w:szCs w:val="18"/>
          <w:color w:val="524F4F"/>
        </w:rPr>
        <w:t>,</w:t>
      </w:r>
      <w:r>
        <w:rPr>
          <w:rFonts w:ascii="Arial" w:cs="Arial" w:eastAsia="Arial" w:hAnsi="Arial"/>
          <w:sz w:val="18"/>
          <w:szCs w:val="18"/>
          <w:color w:val="282826"/>
        </w:rPr>
        <w:t xml:space="preserve"> enforced and governed by the laws of the State of California, excluding its conflict of laws rules</w:t>
      </w:r>
      <w:r>
        <w:rPr>
          <w:rFonts w:ascii="Arial" w:cs="Arial" w:eastAsia="Arial" w:hAnsi="Arial"/>
          <w:sz w:val="18"/>
          <w:szCs w:val="18"/>
          <w:color w:val="0F0F0F"/>
        </w:rPr>
        <w:t>.</w:t>
      </w:r>
    </w:p>
    <w:p>
      <w:pPr>
        <w:spacing w:after="0" w:line="189" w:lineRule="exact"/>
        <w:rPr>
          <w:sz w:val="20"/>
          <w:szCs w:val="20"/>
          <w:color w:val="auto"/>
        </w:rPr>
      </w:pPr>
    </w:p>
    <w:p>
      <w:pPr>
        <w:ind w:left="968" w:right="20" w:hanging="320"/>
        <w:spacing w:after="0" w:line="235" w:lineRule="auto"/>
        <w:tabs>
          <w:tab w:leader="none" w:pos="958" w:val="left"/>
        </w:tabs>
        <w:numPr>
          <w:ilvl w:val="0"/>
          <w:numId w:val="23"/>
        </w:numPr>
        <w:rPr>
          <w:rFonts w:ascii="Arial" w:cs="Arial" w:eastAsia="Arial" w:hAnsi="Arial"/>
          <w:sz w:val="18"/>
          <w:szCs w:val="18"/>
          <w:color w:val="auto"/>
        </w:rPr>
      </w:pPr>
      <w:r>
        <w:rPr>
          <w:rFonts w:ascii="Arial" w:cs="Arial" w:eastAsia="Arial" w:hAnsi="Arial"/>
          <w:sz w:val="18"/>
          <w:szCs w:val="18"/>
          <w:color w:val="383636"/>
        </w:rPr>
        <w:t xml:space="preserve">Each </w:t>
      </w:r>
      <w:r>
        <w:rPr>
          <w:rFonts w:ascii="Arial" w:cs="Arial" w:eastAsia="Arial" w:hAnsi="Arial"/>
          <w:sz w:val="18"/>
          <w:szCs w:val="18"/>
          <w:color w:val="282826"/>
        </w:rPr>
        <w:t>of the parties hereto shall execute any and all other documents or instruments necessary or mutually desirable in order to carry out</w:t>
      </w:r>
      <w:r>
        <w:rPr>
          <w:rFonts w:ascii="Arial" w:cs="Arial" w:eastAsia="Arial" w:hAnsi="Arial"/>
          <w:sz w:val="18"/>
          <w:szCs w:val="18"/>
          <w:color w:val="383636"/>
        </w:rPr>
        <w:t xml:space="preserve"> </w:t>
      </w:r>
      <w:r>
        <w:rPr>
          <w:rFonts w:ascii="Arial" w:cs="Arial" w:eastAsia="Arial" w:hAnsi="Arial"/>
          <w:sz w:val="18"/>
          <w:szCs w:val="18"/>
          <w:color w:val="282826"/>
        </w:rPr>
        <w:t xml:space="preserve">the provisions of this </w:t>
      </w:r>
      <w:r>
        <w:rPr>
          <w:rFonts w:ascii="Arial" w:cs="Arial" w:eastAsia="Arial" w:hAnsi="Arial"/>
          <w:sz w:val="18"/>
          <w:szCs w:val="18"/>
          <w:color w:val="383636"/>
        </w:rPr>
        <w:t>Agreement</w:t>
      </w:r>
      <w:r>
        <w:rPr>
          <w:rFonts w:ascii="Arial" w:cs="Arial" w:eastAsia="Arial" w:hAnsi="Arial"/>
          <w:sz w:val="18"/>
          <w:szCs w:val="18"/>
          <w:color w:val="282826"/>
        </w:rPr>
        <w:t xml:space="preserve"> in </w:t>
      </w:r>
      <w:r>
        <w:rPr>
          <w:rFonts w:ascii="Arial" w:cs="Arial" w:eastAsia="Arial" w:hAnsi="Arial"/>
          <w:sz w:val="18"/>
          <w:szCs w:val="18"/>
          <w:color w:val="383636"/>
        </w:rPr>
        <w:t>good</w:t>
      </w:r>
      <w:r>
        <w:rPr>
          <w:rFonts w:ascii="Arial" w:cs="Arial" w:eastAsia="Arial" w:hAnsi="Arial"/>
          <w:sz w:val="18"/>
          <w:szCs w:val="18"/>
          <w:color w:val="282826"/>
        </w:rPr>
        <w:t xml:space="preserve"> faith</w:t>
      </w:r>
      <w:r>
        <w:rPr>
          <w:rFonts w:ascii="Arial" w:cs="Arial" w:eastAsia="Arial" w:hAnsi="Arial"/>
          <w:sz w:val="18"/>
          <w:szCs w:val="18"/>
          <w:color w:val="0F0F0F"/>
        </w:rPr>
        <w:t>.</w:t>
      </w:r>
    </w:p>
    <w:p>
      <w:pPr>
        <w:spacing w:after="0" w:line="189" w:lineRule="exact"/>
        <w:rPr>
          <w:sz w:val="20"/>
          <w:szCs w:val="20"/>
          <w:color w:val="auto"/>
        </w:rPr>
      </w:pPr>
    </w:p>
    <w:p>
      <w:pPr>
        <w:jc w:val="both"/>
        <w:ind w:left="968" w:hanging="320"/>
        <w:spacing w:after="0" w:line="224" w:lineRule="auto"/>
        <w:tabs>
          <w:tab w:leader="none" w:pos="958" w:val="left"/>
        </w:tabs>
        <w:numPr>
          <w:ilvl w:val="0"/>
          <w:numId w:val="24"/>
        </w:numPr>
        <w:rPr>
          <w:rFonts w:ascii="Arial" w:cs="Arial" w:eastAsia="Arial" w:hAnsi="Arial"/>
          <w:sz w:val="18"/>
          <w:szCs w:val="18"/>
          <w:color w:val="auto"/>
        </w:rPr>
      </w:pPr>
      <w:r>
        <w:rPr>
          <w:rFonts w:ascii="Arial" w:cs="Arial" w:eastAsia="Arial" w:hAnsi="Arial"/>
          <w:sz w:val="18"/>
          <w:szCs w:val="18"/>
          <w:color w:val="282826"/>
        </w:rPr>
        <w:t xml:space="preserve">No provision of this Agreement shall be interpreted for or against any party hereto because any such party or any such party's legal counsel drafted such provision. This Agreement </w:t>
      </w:r>
      <w:r>
        <w:rPr>
          <w:rFonts w:ascii="Arial" w:cs="Arial" w:eastAsia="Arial" w:hAnsi="Arial"/>
          <w:sz w:val="18"/>
          <w:szCs w:val="18"/>
          <w:color w:val="383636"/>
        </w:rPr>
        <w:t>shall</w:t>
      </w:r>
      <w:r>
        <w:rPr>
          <w:rFonts w:ascii="Arial" w:cs="Arial" w:eastAsia="Arial" w:hAnsi="Arial"/>
          <w:sz w:val="18"/>
          <w:szCs w:val="18"/>
          <w:color w:val="282826"/>
        </w:rPr>
        <w:t xml:space="preserve"> be deemed to have been duly drafted and </w:t>
      </w:r>
      <w:r>
        <w:rPr>
          <w:rFonts w:ascii="Arial" w:cs="Arial" w:eastAsia="Arial" w:hAnsi="Arial"/>
          <w:sz w:val="18"/>
          <w:szCs w:val="18"/>
          <w:color w:val="383636"/>
        </w:rPr>
        <w:t>reviewed</w:t>
      </w:r>
      <w:r>
        <w:rPr>
          <w:rFonts w:ascii="Arial" w:cs="Arial" w:eastAsia="Arial" w:hAnsi="Arial"/>
          <w:sz w:val="18"/>
          <w:szCs w:val="18"/>
          <w:color w:val="282826"/>
        </w:rPr>
        <w:t xml:space="preserve"> and review by each of the parties hereof.</w:t>
      </w:r>
    </w:p>
    <w:p>
      <w:pPr>
        <w:spacing w:after="0" w:line="190" w:lineRule="exact"/>
        <w:rPr>
          <w:sz w:val="20"/>
          <w:szCs w:val="20"/>
          <w:color w:val="auto"/>
        </w:rPr>
      </w:pPr>
    </w:p>
    <w:p>
      <w:pPr>
        <w:jc w:val="both"/>
        <w:ind w:left="968" w:hanging="320"/>
        <w:spacing w:after="0" w:line="225" w:lineRule="auto"/>
        <w:tabs>
          <w:tab w:leader="none" w:pos="958" w:val="left"/>
        </w:tabs>
        <w:numPr>
          <w:ilvl w:val="0"/>
          <w:numId w:val="25"/>
        </w:numPr>
        <w:rPr>
          <w:rFonts w:ascii="Arial" w:cs="Arial" w:eastAsia="Arial" w:hAnsi="Arial"/>
          <w:sz w:val="18"/>
          <w:szCs w:val="18"/>
          <w:color w:val="auto"/>
        </w:rPr>
      </w:pPr>
      <w:r>
        <w:rPr>
          <w:rFonts w:ascii="Arial" w:cs="Arial" w:eastAsia="Arial" w:hAnsi="Arial"/>
          <w:sz w:val="18"/>
          <w:szCs w:val="18"/>
          <w:color w:val="282826"/>
        </w:rPr>
        <w:t xml:space="preserve">This Agreement may be </w:t>
      </w:r>
      <w:r>
        <w:rPr>
          <w:rFonts w:ascii="Arial" w:cs="Arial" w:eastAsia="Arial" w:hAnsi="Arial"/>
          <w:sz w:val="18"/>
          <w:szCs w:val="18"/>
          <w:color w:val="383636"/>
        </w:rPr>
        <w:t>executed</w:t>
      </w:r>
      <w:r>
        <w:rPr>
          <w:rFonts w:ascii="Arial" w:cs="Arial" w:eastAsia="Arial" w:hAnsi="Arial"/>
          <w:sz w:val="18"/>
          <w:szCs w:val="18"/>
          <w:color w:val="282826"/>
        </w:rPr>
        <w:t xml:space="preserve"> in one or more counterparts, each of </w:t>
      </w:r>
      <w:r>
        <w:rPr>
          <w:rFonts w:ascii="Arial" w:cs="Arial" w:eastAsia="Arial" w:hAnsi="Arial"/>
          <w:sz w:val="18"/>
          <w:szCs w:val="18"/>
          <w:color w:val="383636"/>
        </w:rPr>
        <w:t>which</w:t>
      </w:r>
      <w:r>
        <w:rPr>
          <w:rFonts w:ascii="Arial" w:cs="Arial" w:eastAsia="Arial" w:hAnsi="Arial"/>
          <w:sz w:val="18"/>
          <w:szCs w:val="18"/>
          <w:color w:val="282826"/>
        </w:rPr>
        <w:t xml:space="preserve"> shall be deemed an original but all of which together shall constitute one and the same instrument. This Agreement may be </w:t>
      </w:r>
      <w:r>
        <w:rPr>
          <w:rFonts w:ascii="Arial" w:cs="Arial" w:eastAsia="Arial" w:hAnsi="Arial"/>
          <w:sz w:val="18"/>
          <w:szCs w:val="18"/>
          <w:color w:val="383636"/>
        </w:rPr>
        <w:t>executed</w:t>
      </w:r>
      <w:r>
        <w:rPr>
          <w:rFonts w:ascii="Arial" w:cs="Arial" w:eastAsia="Arial" w:hAnsi="Arial"/>
          <w:sz w:val="18"/>
          <w:szCs w:val="18"/>
          <w:color w:val="282826"/>
        </w:rPr>
        <w:t xml:space="preserve"> by delivery of original signature via facsimile or electronic transmission.</w:t>
      </w:r>
    </w:p>
    <w:p>
      <w:pPr>
        <w:jc w:val="both"/>
        <w:ind w:left="968" w:hanging="320"/>
        <w:spacing w:after="0" w:line="238" w:lineRule="auto"/>
        <w:tabs>
          <w:tab w:leader="none" w:pos="968" w:val="left"/>
        </w:tabs>
        <w:numPr>
          <w:ilvl w:val="0"/>
          <w:numId w:val="25"/>
        </w:numPr>
        <w:rPr>
          <w:rFonts w:ascii="Arial" w:cs="Arial" w:eastAsia="Arial" w:hAnsi="Arial"/>
          <w:sz w:val="17"/>
          <w:szCs w:val="17"/>
          <w:color w:val="auto"/>
        </w:rPr>
      </w:pPr>
      <w:r>
        <w:rPr>
          <w:rFonts w:ascii="Arial" w:cs="Arial" w:eastAsia="Arial" w:hAnsi="Arial"/>
          <w:sz w:val="17"/>
          <w:szCs w:val="17"/>
          <w:color w:val="282826"/>
        </w:rPr>
        <w:t xml:space="preserve">Each of the parties hereof has been adequately represented by legal counsel or has had adequate opportunity to consult </w:t>
      </w:r>
      <w:r>
        <w:rPr>
          <w:rFonts w:ascii="Arial" w:cs="Arial" w:eastAsia="Arial" w:hAnsi="Arial"/>
          <w:sz w:val="17"/>
          <w:szCs w:val="17"/>
          <w:color w:val="383636"/>
        </w:rPr>
        <w:t>with</w:t>
      </w:r>
      <w:r>
        <w:rPr>
          <w:rFonts w:ascii="Arial" w:cs="Arial" w:eastAsia="Arial" w:hAnsi="Arial"/>
          <w:sz w:val="17"/>
          <w:szCs w:val="17"/>
          <w:color w:val="282826"/>
        </w:rPr>
        <w:t xml:space="preserve"> legal counsel and has affirmatively chosen to waive the right to do so</w:t>
      </w:r>
      <w:r>
        <w:rPr>
          <w:rFonts w:ascii="Arial" w:cs="Arial" w:eastAsia="Arial" w:hAnsi="Arial"/>
          <w:sz w:val="17"/>
          <w:szCs w:val="17"/>
          <w:color w:val="524F4F"/>
        </w:rPr>
        <w:t>.</w:t>
      </w:r>
      <w:r>
        <w:rPr>
          <w:rFonts w:ascii="Arial" w:cs="Arial" w:eastAsia="Arial" w:hAnsi="Arial"/>
          <w:sz w:val="17"/>
          <w:szCs w:val="17"/>
          <w:color w:val="282826"/>
        </w:rPr>
        <w:t xml:space="preserve"> Neither party may raise any claim or defense in any interpretation of this Agreement or otherwise that asserts that: </w:t>
      </w:r>
      <w:r>
        <w:rPr>
          <w:rFonts w:ascii="Arial" w:cs="Arial" w:eastAsia="Arial" w:hAnsi="Arial"/>
          <w:sz w:val="17"/>
          <w:szCs w:val="17"/>
          <w:color w:val="383636"/>
        </w:rPr>
        <w:t>(i)</w:t>
      </w:r>
      <w:r>
        <w:rPr>
          <w:rFonts w:ascii="Arial" w:cs="Arial" w:eastAsia="Arial" w:hAnsi="Arial"/>
          <w:sz w:val="17"/>
          <w:szCs w:val="17"/>
          <w:color w:val="282826"/>
        </w:rPr>
        <w:t xml:space="preserve"> such party </w:t>
      </w:r>
      <w:r>
        <w:rPr>
          <w:rFonts w:ascii="Arial" w:cs="Arial" w:eastAsia="Arial" w:hAnsi="Arial"/>
          <w:sz w:val="17"/>
          <w:szCs w:val="17"/>
          <w:color w:val="383636"/>
        </w:rPr>
        <w:t>was</w:t>
      </w:r>
      <w:r>
        <w:rPr>
          <w:rFonts w:ascii="Arial" w:cs="Arial" w:eastAsia="Arial" w:hAnsi="Arial"/>
          <w:sz w:val="17"/>
          <w:szCs w:val="17"/>
          <w:color w:val="282826"/>
        </w:rPr>
        <w:t xml:space="preserve"> not adequately involved in the drafting and review of this Agreement</w:t>
      </w:r>
      <w:r>
        <w:rPr>
          <w:rFonts w:ascii="Arial" w:cs="Arial" w:eastAsia="Arial" w:hAnsi="Arial"/>
          <w:sz w:val="17"/>
          <w:szCs w:val="17"/>
          <w:color w:val="524F4F"/>
        </w:rPr>
        <w:t>;</w:t>
      </w:r>
      <w:r>
        <w:rPr>
          <w:rFonts w:ascii="Arial" w:cs="Arial" w:eastAsia="Arial" w:hAnsi="Arial"/>
          <w:sz w:val="17"/>
          <w:szCs w:val="17"/>
          <w:color w:val="282826"/>
        </w:rPr>
        <w:t xml:space="preserve"> (ii) such party was not adequately represented by legal counsel; (iii) such party did not fully understand each of the terms and conditions of this Agreement; or </w:t>
      </w:r>
      <w:r>
        <w:rPr>
          <w:rFonts w:ascii="Arial" w:cs="Arial" w:eastAsia="Arial" w:hAnsi="Arial"/>
          <w:sz w:val="17"/>
          <w:szCs w:val="17"/>
          <w:color w:val="383636"/>
        </w:rPr>
        <w:t>(iv)</w:t>
      </w:r>
      <w:r>
        <w:rPr>
          <w:rFonts w:ascii="Arial" w:cs="Arial" w:eastAsia="Arial" w:hAnsi="Arial"/>
          <w:sz w:val="17"/>
          <w:szCs w:val="17"/>
          <w:color w:val="282826"/>
        </w:rPr>
        <w:t xml:space="preserve"> such party did not intend to be legally bound by each and </w:t>
      </w:r>
      <w:r>
        <w:rPr>
          <w:rFonts w:ascii="Arial" w:cs="Arial" w:eastAsia="Arial" w:hAnsi="Arial"/>
          <w:sz w:val="17"/>
          <w:szCs w:val="17"/>
          <w:color w:val="383636"/>
        </w:rPr>
        <w:t>every</w:t>
      </w:r>
      <w:r>
        <w:rPr>
          <w:rFonts w:ascii="Arial" w:cs="Arial" w:eastAsia="Arial" w:hAnsi="Arial"/>
          <w:sz w:val="17"/>
          <w:szCs w:val="17"/>
          <w:color w:val="282826"/>
        </w:rPr>
        <w:t xml:space="preserve"> provision hereof.</w:t>
      </w:r>
    </w:p>
    <w:p>
      <w:pPr>
        <w:sectPr>
          <w:pgSz w:w="11900" w:h="16838" w:orient="portrait"/>
          <w:cols w:equalWidth="0" w:num="1">
            <w:col w:w="10908"/>
          </w:cols>
          <w:pgMar w:left="652" w:top="436"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282826"/>
        </w:rPr>
        <w:t xml:space="preserve">IN WITNESS WHEREOF the parties have hereby </w:t>
      </w:r>
      <w:r>
        <w:rPr>
          <w:rFonts w:ascii="Arial" w:cs="Arial" w:eastAsia="Arial" w:hAnsi="Arial"/>
          <w:sz w:val="16"/>
          <w:szCs w:val="16"/>
          <w:color w:val="383636"/>
        </w:rPr>
        <w:t>executed this Agreement</w:t>
      </w:r>
      <w:r>
        <w:rPr>
          <w:rFonts w:ascii="Arial" w:cs="Arial" w:eastAsia="Arial" w:hAnsi="Arial"/>
          <w:sz w:val="16"/>
          <w:szCs w:val="16"/>
          <w:color w:val="282826"/>
        </w:rPr>
        <w:t xml:space="preserve"> as of the date </w:t>
      </w:r>
      <w:r>
        <w:rPr>
          <w:rFonts w:ascii="Arial" w:cs="Arial" w:eastAsia="Arial" w:hAnsi="Arial"/>
          <w:sz w:val="16"/>
          <w:szCs w:val="16"/>
          <w:color w:val="383636"/>
        </w:rPr>
        <w:t>written</w:t>
      </w:r>
      <w:r>
        <w:rPr>
          <w:rFonts w:ascii="Arial" w:cs="Arial" w:eastAsia="Arial" w:hAnsi="Arial"/>
          <w:sz w:val="16"/>
          <w:szCs w:val="16"/>
          <w:color w:val="282826"/>
        </w:rPr>
        <w:t xml:space="preserve"> below.</w:t>
      </w:r>
    </w:p>
    <w:p>
      <w:pPr>
        <w:sectPr>
          <w:pgSz w:w="11900" w:h="16838" w:orient="portrait"/>
          <w:cols w:equalWidth="0" w:num="1">
            <w:col w:w="10139"/>
          </w:cols>
          <w:pgMar w:left="320" w:top="4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spacing w:after="0"/>
        <w:rPr>
          <w:sz w:val="20"/>
          <w:szCs w:val="20"/>
          <w:color w:val="auto"/>
        </w:rPr>
      </w:pPr>
      <w:r>
        <w:rPr>
          <w:rFonts w:ascii="Arial" w:cs="Arial" w:eastAsia="Arial" w:hAnsi="Arial"/>
          <w:sz w:val="18"/>
          <w:szCs w:val="18"/>
          <w:color w:val="282826"/>
        </w:rPr>
        <w:t>By: /s/ Dan Mondor</w:t>
      </w:r>
    </w:p>
    <w:p>
      <w:pPr>
        <w:ind w:left="220"/>
        <w:spacing w:after="0"/>
        <w:rPr>
          <w:sz w:val="20"/>
          <w:szCs w:val="20"/>
          <w:color w:val="auto"/>
        </w:rPr>
      </w:pPr>
      <w:r>
        <w:rPr>
          <w:rFonts w:ascii="Arial" w:cs="Arial" w:eastAsia="Arial" w:hAnsi="Arial"/>
          <w:sz w:val="18"/>
          <w:szCs w:val="18"/>
          <w:color w:val="282826"/>
        </w:rPr>
        <w:t>Dan Mondor</w:t>
      </w: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282826"/>
        </w:rPr>
        <w:t>Date: 2/28/2022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Arial" w:cs="Arial" w:eastAsia="Arial" w:hAnsi="Arial"/>
          <w:sz w:val="18"/>
          <w:szCs w:val="18"/>
          <w:color w:val="282826"/>
        </w:rPr>
        <w:t>By: /s/ Kurt Scheuerman</w:t>
      </w:r>
    </w:p>
    <w:p>
      <w:pPr>
        <w:ind w:left="660"/>
        <w:spacing w:after="0" w:line="219" w:lineRule="auto"/>
        <w:rPr>
          <w:sz w:val="20"/>
          <w:szCs w:val="20"/>
          <w:color w:val="auto"/>
        </w:rPr>
      </w:pPr>
      <w:r>
        <w:rPr>
          <w:rFonts w:ascii="Arial" w:cs="Arial" w:eastAsia="Arial" w:hAnsi="Arial"/>
          <w:sz w:val="18"/>
          <w:szCs w:val="18"/>
          <w:color w:val="282826"/>
        </w:rPr>
        <w:t>Kurt Scheuerman</w:t>
      </w:r>
    </w:p>
    <w:p>
      <w:pPr>
        <w:ind w:left="640"/>
        <w:spacing w:after="0"/>
        <w:rPr>
          <w:sz w:val="20"/>
          <w:szCs w:val="20"/>
          <w:color w:val="auto"/>
        </w:rPr>
      </w:pPr>
      <w:r>
        <w:rPr>
          <w:rFonts w:ascii="Arial" w:cs="Arial" w:eastAsia="Arial" w:hAnsi="Arial"/>
          <w:sz w:val="16"/>
          <w:szCs w:val="16"/>
          <w:color w:val="282826"/>
        </w:rPr>
        <w:t xml:space="preserve">SVP &amp; General </w:t>
      </w:r>
      <w:r>
        <w:rPr>
          <w:rFonts w:ascii="Arial" w:cs="Arial" w:eastAsia="Arial" w:hAnsi="Arial"/>
          <w:sz w:val="16"/>
          <w:szCs w:val="16"/>
          <w:color w:val="383636"/>
        </w:rPr>
        <w:t>Counsel</w:t>
      </w:r>
    </w:p>
    <w:p>
      <w:pPr>
        <w:spacing w:after="0" w:line="200" w:lineRule="exact"/>
        <w:rPr>
          <w:sz w:val="20"/>
          <w:szCs w:val="20"/>
          <w:color w:val="auto"/>
        </w:rPr>
      </w:pPr>
    </w:p>
    <w:p>
      <w:pPr>
        <w:spacing w:after="0" w:line="275" w:lineRule="exact"/>
        <w:rPr>
          <w:sz w:val="20"/>
          <w:szCs w:val="20"/>
          <w:color w:val="auto"/>
        </w:rPr>
      </w:pPr>
    </w:p>
    <w:p>
      <w:pPr>
        <w:ind w:left="220"/>
        <w:spacing w:after="0"/>
        <w:rPr>
          <w:sz w:val="20"/>
          <w:szCs w:val="20"/>
          <w:color w:val="auto"/>
        </w:rPr>
      </w:pPr>
      <w:r>
        <w:rPr>
          <w:rFonts w:ascii="Arial" w:cs="Arial" w:eastAsia="Arial" w:hAnsi="Arial"/>
          <w:sz w:val="18"/>
          <w:szCs w:val="18"/>
          <w:color w:val="282826"/>
        </w:rPr>
        <w:t>Date: 2/28/2022</w:t>
      </w:r>
    </w:p>
    <w:p>
      <w:pPr>
        <w:sectPr>
          <w:pgSz w:w="11900" w:h="16838" w:orient="portrait"/>
          <w:cols w:equalWidth="0" w:num="1">
            <w:col w:w="10139"/>
          </w:cols>
          <w:pgMar w:left="320" w:top="436" w:right="1440"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Ashish Sharma, certify that:</w:t>
      </w:r>
    </w:p>
    <w:p>
      <w:pPr>
        <w:spacing w:after="0" w:line="171" w:lineRule="exact"/>
        <w:rPr>
          <w:sz w:val="20"/>
          <w:szCs w:val="20"/>
          <w:color w:val="auto"/>
        </w:rPr>
      </w:pPr>
    </w:p>
    <w:p>
      <w:pPr>
        <w:ind w:left="680" w:hanging="186"/>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171"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1060" w:right="160" w:hanging="230"/>
        <w:spacing w:after="0" w:line="224" w:lineRule="auto"/>
        <w:tabs>
          <w:tab w:leader="none" w:pos="10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1060" w:right="280" w:hanging="240"/>
        <w:spacing w:after="0" w:line="224" w:lineRule="auto"/>
        <w:tabs>
          <w:tab w:leader="none" w:pos="10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1060" w:right="440" w:hanging="230"/>
        <w:spacing w:after="0" w:line="289" w:lineRule="auto"/>
        <w:tabs>
          <w:tab w:leader="none" w:pos="10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60" w:right="160" w:hanging="240"/>
        <w:spacing w:after="0" w:line="224" w:lineRule="auto"/>
        <w:tabs>
          <w:tab w:leader="none" w:pos="10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060" w:right="700" w:hanging="230"/>
        <w:spacing w:after="0" w:line="289" w:lineRule="auto"/>
        <w:tabs>
          <w:tab w:leader="none" w:pos="10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60" w:right="380" w:hanging="240"/>
        <w:spacing w:after="0" w:line="235" w:lineRule="auto"/>
        <w:tabs>
          <w:tab w:leader="none" w:pos="10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Date: May 4, 2022</w:t>
      </w:r>
    </w:p>
    <w:p>
      <w:pPr>
        <w:spacing w:after="0" w:line="239" w:lineRule="exact"/>
        <w:rPr>
          <w:sz w:val="20"/>
          <w:szCs w:val="20"/>
          <w:color w:val="auto"/>
        </w:rPr>
      </w:pPr>
    </w:p>
    <w:p>
      <w:pPr>
        <w:ind w:left="2960"/>
        <w:spacing w:after="0"/>
        <w:tabs>
          <w:tab w:leader="none" w:pos="32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Ashish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23495</wp:posOffset>
            </wp:positionV>
            <wp:extent cx="33947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6"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Ashish Sharma</w:t>
      </w:r>
    </w:p>
    <w:p>
      <w:pPr>
        <w:spacing w:after="0" w:line="121"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3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Robert G. Barbieri, certify that:</w:t>
      </w:r>
    </w:p>
    <w:p>
      <w:pPr>
        <w:spacing w:after="0" w:line="171" w:lineRule="exact"/>
        <w:rPr>
          <w:sz w:val="20"/>
          <w:szCs w:val="20"/>
          <w:color w:val="auto"/>
        </w:rPr>
      </w:pPr>
    </w:p>
    <w:p>
      <w:pPr>
        <w:ind w:left="680" w:hanging="186"/>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171"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060" w:right="160" w:hanging="230"/>
        <w:spacing w:after="0" w:line="224" w:lineRule="auto"/>
        <w:tabs>
          <w:tab w:leader="none" w:pos="10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1060" w:right="280" w:hanging="240"/>
        <w:spacing w:after="0" w:line="224" w:lineRule="auto"/>
        <w:tabs>
          <w:tab w:leader="none" w:pos="10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1060" w:right="440" w:hanging="230"/>
        <w:spacing w:after="0" w:line="289" w:lineRule="auto"/>
        <w:tabs>
          <w:tab w:leader="none" w:pos="10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60" w:right="160" w:hanging="240"/>
        <w:spacing w:after="0" w:line="224" w:lineRule="auto"/>
        <w:tabs>
          <w:tab w:leader="none" w:pos="10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060" w:right="700" w:hanging="230"/>
        <w:spacing w:after="0" w:line="289" w:lineRule="auto"/>
        <w:tabs>
          <w:tab w:leader="none" w:pos="10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60" w:right="380" w:hanging="240"/>
        <w:spacing w:after="0" w:line="235" w:lineRule="auto"/>
        <w:tabs>
          <w:tab w:leader="none" w:pos="10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4, 2022</w:t>
      </w:r>
    </w:p>
    <w:p>
      <w:pPr>
        <w:spacing w:after="0" w:line="239" w:lineRule="exact"/>
        <w:rPr>
          <w:sz w:val="20"/>
          <w:szCs w:val="20"/>
          <w:color w:val="auto"/>
        </w:rPr>
      </w:pPr>
    </w:p>
    <w:p>
      <w:pPr>
        <w:ind w:left="2960"/>
        <w:spacing w:after="0"/>
        <w:tabs>
          <w:tab w:leader="none" w:pos="3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Robert G.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23495</wp:posOffset>
            </wp:positionV>
            <wp:extent cx="33947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88"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Robert G. Barbieri</w:t>
      </w:r>
    </w:p>
    <w:p>
      <w:pPr>
        <w:spacing w:after="0" w:line="121"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68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 Ashish Sharma, Chief Executive Officer of Inseego Corp. (the “Company”), do hereby certify, pursuant to 18 U.S.C. Section 1350, as adopted pursuant to Section 906 of the Sarbanes-Oxley Act of 2002, that to the best of my knowledge:</w:t>
      </w:r>
    </w:p>
    <w:p>
      <w:pPr>
        <w:spacing w:after="0" w:line="224" w:lineRule="exact"/>
        <w:rPr>
          <w:sz w:val="20"/>
          <w:szCs w:val="20"/>
          <w:color w:val="auto"/>
        </w:rPr>
      </w:pPr>
    </w:p>
    <w:p>
      <w:pPr>
        <w:ind w:left="1500" w:right="460" w:hanging="833"/>
        <w:spacing w:after="0" w:line="235" w:lineRule="auto"/>
        <w:tabs>
          <w:tab w:leader="none" w:pos="1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2022 (the “Report”) fully complies with the requirements of Section 13(a) or 15(d) of the Securities Exchange Act of 1934, as amended; and</w:t>
      </w:r>
    </w:p>
    <w:p>
      <w:pPr>
        <w:spacing w:after="0" w:line="229" w:lineRule="exact"/>
        <w:rPr>
          <w:rFonts w:ascii="Arial" w:cs="Arial" w:eastAsia="Arial" w:hAnsi="Arial"/>
          <w:sz w:val="18"/>
          <w:szCs w:val="18"/>
          <w:color w:val="auto"/>
        </w:rPr>
      </w:pPr>
    </w:p>
    <w:p>
      <w:pPr>
        <w:ind w:left="1500" w:right="140" w:hanging="833"/>
        <w:spacing w:after="0" w:line="235" w:lineRule="auto"/>
        <w:tabs>
          <w:tab w:leader="none" w:pos="1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4, 2022</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Ashish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23495</wp:posOffset>
            </wp:positionV>
            <wp:extent cx="32918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6"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Ashish Sharma</w:t>
      </w:r>
    </w:p>
    <w:p>
      <w:pPr>
        <w:spacing w:after="0" w:line="67"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688"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5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 Robert G. Barbieri, Chief Financial Officer of Inseego Corp. (the “Company”), do hereby certify, pursuant to 18 U.S.C. Section 1350, as adopted pursuant to Section 906 of the Sarbanes-Oxley Act of 2002, that to the best of my knowledge:</w:t>
      </w:r>
    </w:p>
    <w:p>
      <w:pPr>
        <w:spacing w:after="0" w:line="224" w:lineRule="exact"/>
        <w:rPr>
          <w:sz w:val="20"/>
          <w:szCs w:val="20"/>
          <w:color w:val="auto"/>
        </w:rPr>
      </w:pPr>
    </w:p>
    <w:p>
      <w:pPr>
        <w:ind w:left="1320" w:right="620" w:hanging="822"/>
        <w:spacing w:after="0" w:line="235" w:lineRule="auto"/>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2022 (the “Report”) fully complies with the requirements of Section 13(a) or 15(d) of the Securities Exchange Act of 1934, as amended; and</w:t>
      </w:r>
    </w:p>
    <w:p>
      <w:pPr>
        <w:spacing w:after="0" w:line="229" w:lineRule="exact"/>
        <w:rPr>
          <w:rFonts w:ascii="Arial" w:cs="Arial" w:eastAsia="Arial" w:hAnsi="Arial"/>
          <w:sz w:val="18"/>
          <w:szCs w:val="18"/>
          <w:color w:val="auto"/>
        </w:rPr>
      </w:pPr>
    </w:p>
    <w:p>
      <w:pPr>
        <w:ind w:left="1320" w:right="320" w:hanging="822"/>
        <w:spacing w:after="0" w:line="235" w:lineRule="auto"/>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4, 2022</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Robert G.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23495</wp:posOffset>
            </wp:positionV>
            <wp:extent cx="32918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88"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Robert G. Barbieri</w:t>
      </w:r>
    </w:p>
    <w:p>
      <w:pPr>
        <w:spacing w:after="0" w:line="67"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4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amp;"/>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upperLetter"/>
      <w:start w:val="1"/>
    </w:lvl>
  </w:abstractNum>
  <w:abstractNum w:abstractNumId="9">
    <w:nsid w:val="257130A3"/>
    <w:multiLevelType w:val="hybridMultilevel"/>
    <w:lvl w:ilvl="0">
      <w:lvlJc w:val="left"/>
      <w:lvlText w:val="%1."/>
      <w:numFmt w:val="upperLetter"/>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lowerRoman"/>
      <w:start w:val="3"/>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decimal"/>
      <w:start w:val="1"/>
    </w:lvl>
    <w:lvl w:ilvl="1">
      <w:lvlJc w:val="left"/>
      <w:lvlText w:val="%2."/>
      <w:numFmt w:val="lowerLetter"/>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46" Type="http://schemas.openxmlformats.org/officeDocument/2006/relationships/hyperlink" Target="https://www.sec.gov/Archives/edgar/data/1022652/000102265221000009/insg20210224ex101sharepurc.htm" TargetMode="External"/><Relationship Id="rId47" Type="http://schemas.openxmlformats.org/officeDocument/2006/relationships/hyperlink" Target="https://www.sec.gov/Archives/edgar/data/1022652/000102265221000066/thirdaddendumtospa_executi.htm" TargetMode="External"/><Relationship Id="rId48" Type="http://schemas.openxmlformats.org/officeDocument/2006/relationships/hyperlink" Target="https://www.sec.gov/Archives/edgar/data/1022652/000102265221000066/secondaddendumtospa30april.htm" TargetMode="External"/><Relationship Id="rId49" Type="http://schemas.openxmlformats.org/officeDocument/2006/relationships/hyperlink" Target="https://www.sec.gov/Archives/edgar/data/1022652/000102265221000066/insg20210630ex103firstadde.htm" TargetMode="External"/><Relationship Id="rId50" Type="http://schemas.openxmlformats.org/officeDocument/2006/relationships/hyperlink" Target="http://www.sec.gov/Archives/edgar/data/1022652/000119312516763609/d261554dex31.htm" TargetMode="External"/><Relationship Id="rId51" Type="http://schemas.openxmlformats.org/officeDocument/2006/relationships/hyperlink" Target="http://www.sec.gov/Archives/edgar/data/1022652/000119312516763609/d261554dex32.htm" TargetMode="External"/><Relationship Id="rId52" Type="http://schemas.openxmlformats.org/officeDocument/2006/relationships/hyperlink" Target="http://www.sec.gov/Archives/edgar/data/1022652/000119312518015371/d525985dex31.htm" TargetMode="External"/><Relationship Id="rId53" Type="http://schemas.openxmlformats.org/officeDocument/2006/relationships/hyperlink" Target="http://www.sec.gov/Archives/edgar/data/1022652/000119312519219943/d792529dex31.htm" TargetMode="External"/><Relationship Id="rId54" Type="http://schemas.openxmlformats.org/officeDocument/2006/relationships/hyperlink" Target="http://www.sec.gov/Archives/edgar/data/1022652/000119312520067668/d824727dex31.htm" TargetMode="External"/><Relationship Id="rId55" Type="http://schemas.openxmlformats.org/officeDocument/2006/relationships/hyperlink" Target="https://www.sec.gov/Archives/edgar/data/0001022652/000102265221000068/a2018ominbusplanamended072.htm" TargetMode="External"/><Relationship Id="rId56" Type="http://schemas.openxmlformats.org/officeDocument/2006/relationships/hyperlink" Target="https://www.sec.gov/Archives/edgar/data/1022652/000102265221000083/insg063021ex102independent.htm" TargetMode="External"/><Relationship Id="rId57" Type="http://schemas.openxmlformats.org/officeDocument/2006/relationships/hyperlink" Target="https://www.sec.gov/Archives/edgar/data/0001022652/000168316821004112/inseego_ex0102.htm" TargetMode="External"/><Relationship Id="rId58" Type="http://schemas.openxmlformats.org/officeDocument/2006/relationships/hyperlink" Target="https://www.sec.gov/ix?doc=/Archives/edgar/data/1022652/000168316821005022/inseego_8ka.htm" TargetMode="External"/><Relationship Id="rId59" Type="http://schemas.openxmlformats.org/officeDocument/2006/relationships/hyperlink" Target="https://www.sec.gov/Archives/edgar/data/1022652/000168316821005022/inseego_ex1002.htm" TargetMode="External"/><Relationship Id="rId60" Type="http://schemas.openxmlformats.org/officeDocument/2006/relationships/hyperlink" Target="https://www.sec.gov/Archives/edgar/data/1022652/000168316821005022/inseego_ex10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2022-05-04T15:36:42Z</dcterms:created>
  <dcterms:modified xsi:type="dcterms:W3CDTF">2022-05-04T15:36:42Z</dcterms:modified>
</cp:coreProperties>
</file>