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6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840" w:right="4000" w:hanging="805"/>
        <w:spacing w:after="0" w:line="350" w:lineRule="auto"/>
        <w:tabs>
          <w:tab w:leader="none" w:pos="84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fiscal year ended December 31, 2014</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840" w:right="2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33" w:right="279" w:bottom="1440" w:gutter="0" w:footer="0" w:header="0"/>
        </w:sectPr>
      </w:pPr>
    </w:p>
    <w:p>
      <w:pPr>
        <w:spacing w:after="0" w:line="10" w:lineRule="exact"/>
        <w:rPr>
          <w:sz w:val="24"/>
          <w:szCs w:val="24"/>
          <w:color w:val="auto"/>
        </w:rPr>
      </w:pPr>
    </w:p>
    <w:p>
      <w:pPr>
        <w:ind w:left="33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113" w:lineRule="exact"/>
        <w:rPr>
          <w:sz w:val="24"/>
          <w:szCs w:val="24"/>
          <w:color w:val="auto"/>
        </w:rPr>
      </w:pPr>
    </w:p>
    <w:p>
      <w:pPr>
        <w:sectPr>
          <w:pgSz w:w="11900" w:h="16838" w:orient="portrait"/>
          <w:cols w:equalWidth="0" w:num="2">
            <w:col w:w="6100" w:space="720"/>
            <w:col w:w="456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Commission file number: 000-31659</w:t>
      </w:r>
    </w:p>
    <w:p>
      <w:pPr>
        <w:spacing w:after="0" w:line="7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NOVATEL WIRELESS, INC.</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80"/>
          </w:cols>
          <w:pgMar w:left="240" w:top="233" w:right="279" w:bottom="1440" w:gutter="0" w:footer="0" w:header="0"/>
          <w:type w:val="continuous"/>
        </w:sectPr>
      </w:pPr>
    </w:p>
    <w:p>
      <w:pPr>
        <w:spacing w:after="0" w:line="152"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86-0824673</w:t>
      </w:r>
    </w:p>
    <w:p>
      <w:pPr>
        <w:spacing w:after="0" w:line="82" w:lineRule="exact"/>
        <w:rPr>
          <w:sz w:val="24"/>
          <w:szCs w:val="24"/>
          <w:color w:val="auto"/>
        </w:rPr>
      </w:pPr>
    </w:p>
    <w:p>
      <w:pPr>
        <w:sectPr>
          <w:pgSz w:w="11900" w:h="16838" w:orient="portrait"/>
          <w:cols w:equalWidth="0" w:num="2">
            <w:col w:w="7580" w:space="720"/>
            <w:col w:w="3080"/>
          </w:cols>
          <w:pgMar w:left="240" w:top="233" w:right="279" w:bottom="1440" w:gutter="0" w:footer="0" w:header="0"/>
          <w:type w:val="continuous"/>
        </w:sectPr>
      </w:pPr>
    </w:p>
    <w:p>
      <w:pPr>
        <w:jc w:val="center"/>
        <w:ind w:right="1840"/>
        <w:spacing w:after="0"/>
        <w:rPr>
          <w:sz w:val="20"/>
          <w:szCs w:val="20"/>
          <w:color w:val="auto"/>
        </w:rPr>
      </w:pPr>
      <w:r>
        <w:rPr>
          <w:rFonts w:ascii="Arial" w:cs="Arial" w:eastAsia="Arial" w:hAnsi="Arial"/>
          <w:sz w:val="14"/>
          <w:szCs w:val="14"/>
          <w:b w:val="1"/>
          <w:bCs w:val="1"/>
          <w:color w:val="auto"/>
        </w:rPr>
        <w:t>(State or Other Jurisdiction</w:t>
      </w:r>
    </w:p>
    <w:p>
      <w:pPr>
        <w:spacing w:after="0" w:line="4" w:lineRule="exact"/>
        <w:rPr>
          <w:sz w:val="24"/>
          <w:szCs w:val="24"/>
          <w:color w:val="auto"/>
        </w:rPr>
      </w:pPr>
    </w:p>
    <w:p>
      <w:pPr>
        <w:jc w:val="center"/>
        <w:ind w:right="1840"/>
        <w:spacing w:after="0"/>
        <w:rPr>
          <w:sz w:val="20"/>
          <w:szCs w:val="20"/>
          <w:color w:val="auto"/>
        </w:rPr>
      </w:pPr>
      <w:r>
        <w:rPr>
          <w:rFonts w:ascii="Arial" w:cs="Arial" w:eastAsia="Arial" w:hAnsi="Arial"/>
          <w:sz w:val="13"/>
          <w:szCs w:val="13"/>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460" w:space="720"/>
            <w:col w:w="3200"/>
          </w:cols>
          <w:pgMar w:left="240" w:top="233" w:right="27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9645 Scranton Road</w:t>
      </w:r>
    </w:p>
    <w:p>
      <w:pPr>
        <w:spacing w:after="0" w:line="50"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San Diego, California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92121</w:t>
      </w:r>
    </w:p>
    <w:p>
      <w:pPr>
        <w:spacing w:after="0" w:line="92" w:lineRule="exact"/>
        <w:rPr>
          <w:sz w:val="24"/>
          <w:szCs w:val="24"/>
          <w:color w:val="auto"/>
        </w:rPr>
      </w:pPr>
    </w:p>
    <w:p>
      <w:pPr>
        <w:sectPr>
          <w:pgSz w:w="11900" w:h="16838" w:orient="portrait"/>
          <w:cols w:equalWidth="0" w:num="2">
            <w:col w:w="7800" w:space="720"/>
            <w:col w:w="2860"/>
          </w:cols>
          <w:pgMar w:left="240" w:top="233" w:right="279" w:bottom="1440" w:gutter="0" w:footer="0" w:header="0"/>
          <w:type w:val="continuous"/>
        </w:sectPr>
      </w:pPr>
    </w:p>
    <w:p>
      <w:pPr>
        <w:ind w:left="15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1" w:lineRule="exact"/>
        <w:rPr>
          <w:sz w:val="24"/>
          <w:szCs w:val="24"/>
          <w:color w:val="auto"/>
        </w:rPr>
      </w:pPr>
    </w:p>
    <w:p>
      <w:pPr>
        <w:sectPr>
          <w:pgSz w:w="11900" w:h="16838" w:orient="portrait"/>
          <w:cols w:equalWidth="0" w:num="2">
            <w:col w:w="7680" w:space="720"/>
            <w:col w:w="298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59" w:lineRule="exact"/>
        <w:rPr>
          <w:sz w:val="24"/>
          <w:szCs w:val="24"/>
          <w:color w:val="auto"/>
        </w:rPr>
      </w:pPr>
    </w:p>
    <w:p>
      <w:pPr>
        <w:jc w:val="center"/>
        <w:ind w:right="-39"/>
        <w:spacing w:after="0"/>
        <w:rPr>
          <w:sz w:val="20"/>
          <w:szCs w:val="20"/>
          <w:color w:val="auto"/>
        </w:rPr>
      </w:pPr>
      <w:r>
        <w:rPr>
          <w:rFonts w:ascii="Arial" w:cs="Arial" w:eastAsia="Arial" w:hAnsi="Arial"/>
          <w:sz w:val="17"/>
          <w:szCs w:val="17"/>
          <w:b w:val="1"/>
          <w:bCs w:val="1"/>
          <w:color w:val="auto"/>
        </w:rPr>
        <w:t>Securities registered pursuant to Section 12(b) of the Act: None</w:t>
      </w:r>
    </w:p>
    <w:p>
      <w:pPr>
        <w:spacing w:after="0" w:line="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$.001 per share</w:t>
      </w:r>
    </w:p>
    <w:p>
      <w:pPr>
        <w:sectPr>
          <w:pgSz w:w="11900" w:h="16838" w:orient="portrait"/>
          <w:cols w:equalWidth="0" w:num="1">
            <w:col w:w="11380"/>
          </w:cols>
          <w:pgMar w:left="240" w:top="233" w:right="279" w:bottom="1440" w:gutter="0" w:footer="0" w:header="0"/>
          <w:type w:val="continuous"/>
        </w:sectPr>
      </w:pPr>
    </w:p>
    <w:p>
      <w:pPr>
        <w:spacing w:after="0" w:line="6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9"/>
          <w:szCs w:val="19"/>
          <w:color w:val="auto"/>
        </w:rPr>
        <w:t>x</w:t>
      </w:r>
    </w:p>
    <w:p>
      <w:pPr>
        <w:spacing w:after="0" w:line="79" w:lineRule="exact"/>
        <w:rPr>
          <w:sz w:val="24"/>
          <w:szCs w:val="24"/>
          <w:color w:val="auto"/>
        </w:rPr>
      </w:pPr>
    </w:p>
    <w:p>
      <w:pPr>
        <w:sectPr>
          <w:pgSz w:w="11900" w:h="16838" w:orient="portrait"/>
          <w:cols w:equalWidth="0" w:num="4">
            <w:col w:w="9080" w:space="100"/>
            <w:col w:w="160" w:space="180"/>
            <w:col w:w="220" w:space="100"/>
            <w:col w:w="1540"/>
          </w:cols>
          <w:pgMar w:left="240" w:top="233" w:right="279" w:bottom="144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x</w:t>
      </w:r>
    </w:p>
    <w:p>
      <w:pPr>
        <w:spacing w:after="0" w:line="99" w:lineRule="exact"/>
        <w:rPr>
          <w:sz w:val="24"/>
          <w:szCs w:val="24"/>
          <w:color w:val="auto"/>
        </w:rPr>
      </w:pPr>
    </w:p>
    <w:p>
      <w:pPr>
        <w:sectPr>
          <w:pgSz w:w="11900" w:h="16838" w:orient="portrait"/>
          <w:cols w:equalWidth="0" w:num="4">
            <w:col w:w="9260" w:space="80"/>
            <w:col w:w="160" w:space="180"/>
            <w:col w:w="220" w:space="100"/>
            <w:col w:w="1380"/>
          </w:cols>
          <w:pgMar w:left="240" w:top="233" w:right="279" w:bottom="1440" w:gutter="0" w:footer="0" w:header="0"/>
          <w:type w:val="continuous"/>
        </w:sectPr>
      </w:pPr>
    </w:p>
    <w:p>
      <w:pPr>
        <w:ind w:right="100" w:firstLine="324"/>
        <w:spacing w:after="0" w:line="25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324"/>
        <w:spacing w:after="0" w:line="259"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Arial" w:cs="Arial" w:eastAsia="Arial" w:hAnsi="Arial"/>
          <w:sz w:val="21"/>
          <w:szCs w:val="21"/>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 w:lineRule="exact"/>
        <w:rPr>
          <w:sz w:val="24"/>
          <w:szCs w:val="24"/>
          <w:color w:val="auto"/>
        </w:rPr>
      </w:pPr>
    </w:p>
    <w:p>
      <w:pPr>
        <w:jc w:val="both"/>
        <w:ind w:right="20"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 w:lineRule="exact"/>
        <w:rPr>
          <w:sz w:val="24"/>
          <w:szCs w:val="24"/>
          <w:color w:val="auto"/>
        </w:rPr>
      </w:pPr>
    </w:p>
    <w:p>
      <w:pPr>
        <w:jc w:val="both"/>
        <w:ind w:right="40" w:firstLine="324"/>
        <w:spacing w:after="0" w:line="29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p>
      <w:pPr>
        <w:ind w:left="340"/>
        <w:spacing w:after="0" w:line="242" w:lineRule="exact"/>
        <w:tabs>
          <w:tab w:leader="none" w:pos="2340" w:val="left"/>
          <w:tab w:leader="none" w:pos="3940" w:val="left"/>
          <w:tab w:leader="none" w:pos="5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Arial" w:cs="Arial" w:eastAsia="Arial" w:hAnsi="Arial"/>
          <w:sz w:val="21"/>
          <w:szCs w:val="21"/>
          <w:color w:val="auto"/>
        </w:rPr>
        <w:t>x</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6" w:lineRule="exact"/>
        <w:rPr>
          <w:sz w:val="24"/>
          <w:szCs w:val="24"/>
          <w:color w:val="auto"/>
        </w:rPr>
      </w:pPr>
    </w:p>
    <w:p>
      <w:pPr>
        <w:ind w:left="340"/>
        <w:spacing w:after="0" w:line="242" w:lineRule="exact"/>
        <w:tabs>
          <w:tab w:leader="none" w:pos="922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Arial" w:cs="Arial" w:eastAsia="Arial" w:hAnsi="Arial"/>
          <w:sz w:val="21"/>
          <w:szCs w:val="21"/>
          <w:color w:val="auto"/>
        </w:rPr>
        <w:t>x</w:t>
      </w:r>
    </w:p>
    <w:p>
      <w:pPr>
        <w:spacing w:after="0" w:line="49" w:lineRule="exact"/>
        <w:rPr>
          <w:sz w:val="24"/>
          <w:szCs w:val="24"/>
          <w:color w:val="auto"/>
        </w:rPr>
      </w:pPr>
    </w:p>
    <w:p>
      <w:pPr>
        <w:ind w:right="20" w:firstLine="324"/>
        <w:spacing w:after="0" w:line="272" w:lineRule="auto"/>
        <w:rPr>
          <w:sz w:val="20"/>
          <w:szCs w:val="20"/>
          <w:color w:val="auto"/>
        </w:rPr>
      </w:pPr>
      <w:r>
        <w:rPr>
          <w:rFonts w:ascii="Arial" w:cs="Arial" w:eastAsia="Arial" w:hAnsi="Arial"/>
          <w:sz w:val="17"/>
          <w:szCs w:val="17"/>
          <w:color w:val="auto"/>
        </w:rPr>
        <w:t>The aggregate market value of the voting common stock held by non-affiliates of the registrant, based on the closing price of the registrant’s common stock on June 30, 2014, as reported by The Nasdaq Global Select Market, was approximately $63,195,226. For the purposes of this calculation, shares owned by officers and directors (and their affiliates) have been excluded. This exclusion is not intended, nor shall it be deemed, to be an admission that such persons are affiliates of the registrant. The registrant does not have any non-voting stock issued or outstanding.</w:t>
      </w:r>
    </w:p>
    <w:p>
      <w:pPr>
        <w:spacing w:after="0" w:line="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outstanding as of March 3, 2015 was 45,939,859</w:t>
      </w:r>
      <w:r>
        <w:rPr>
          <w:rFonts w:ascii="Arial" w:cs="Arial" w:eastAsia="Arial" w:hAnsi="Arial"/>
          <w:sz w:val="19"/>
          <w:szCs w:val="19"/>
          <w:color w:val="auto"/>
        </w:rPr>
        <w:t>.</w:t>
      </w: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40" w:lineRule="exact"/>
        <w:rPr>
          <w:sz w:val="24"/>
          <w:szCs w:val="24"/>
          <w:color w:val="auto"/>
        </w:rPr>
      </w:pPr>
    </w:p>
    <w:p>
      <w:pPr>
        <w:ind w:right="660" w:firstLine="324"/>
        <w:spacing w:after="0" w:line="308" w:lineRule="auto"/>
        <w:rPr>
          <w:sz w:val="20"/>
          <w:szCs w:val="20"/>
          <w:color w:val="auto"/>
        </w:rPr>
      </w:pPr>
      <w:r>
        <w:rPr>
          <w:rFonts w:ascii="Arial" w:cs="Arial" w:eastAsia="Arial" w:hAnsi="Arial"/>
          <w:sz w:val="17"/>
          <w:szCs w:val="17"/>
          <w:color w:val="auto"/>
        </w:rPr>
        <w:t>Portions of the registrant’s definitive proxy statement for the 2015 Annual Meeting of Stockholders to be filed with the Securities and Exchange Commission pursuant to Regulation 14A are incorporated by reference into Part III of this Form 10-K to the extent stated herein.</w:t>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380" w:type="dxa"/>
            <w:vAlign w:val="bottom"/>
            <w:gridSpan w:val="8"/>
          </w:tcPr>
          <w:p>
            <w:pPr>
              <w:ind w:left="2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PART I</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1.</w:t>
            </w:r>
          </w:p>
        </w:tc>
        <w:tc>
          <w:tcPr>
            <w:tcW w:w="640" w:type="dxa"/>
            <w:vAlign w:val="bottom"/>
            <w:tcBorders>
              <w:bottom w:val="single" w:sz="8" w:color="0000EE"/>
            </w:tcBorders>
            <w:gridSpan w:val="2"/>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9260" w:type="dxa"/>
            <w:vAlign w:val="bottom"/>
            <w:gridSpan w:val="19"/>
          </w:tcPr>
          <w:p>
            <w:pPr>
              <w:spacing w:after="0"/>
              <w:rPr>
                <w:sz w:val="24"/>
                <w:szCs w:val="24"/>
                <w:color w:val="auto"/>
              </w:rPr>
            </w:pPr>
          </w:p>
        </w:tc>
        <w:tc>
          <w:tcPr>
            <w:tcW w:w="440" w:type="dxa"/>
            <w:vAlign w:val="bottom"/>
            <w:gridSpan w:val="3"/>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Item 1A.</w:t>
            </w:r>
          </w:p>
        </w:tc>
        <w:tc>
          <w:tcPr>
            <w:tcW w:w="900" w:type="dxa"/>
            <w:vAlign w:val="bottom"/>
            <w:gridSpan w:val="4"/>
          </w:tcPr>
          <w:p>
            <w:pPr>
              <w:spacing w:after="0"/>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9000" w:type="dxa"/>
            <w:vAlign w:val="bottom"/>
            <w:gridSpan w:val="17"/>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12</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2"/>
              </w:rPr>
              <w:t>Item 1B.</w:t>
            </w:r>
          </w:p>
        </w:tc>
        <w:tc>
          <w:tcPr>
            <w:tcW w:w="2040" w:type="dxa"/>
            <w:vAlign w:val="bottom"/>
            <w:gridSpan w:val="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Unresolved Staff Comments</w:t>
              </w:r>
            </w:hyperlink>
          </w:p>
        </w:tc>
        <w:tc>
          <w:tcPr>
            <w:tcW w:w="7860" w:type="dxa"/>
            <w:vAlign w:val="bottom"/>
            <w:gridSpan w:val="12"/>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2.</w:t>
            </w:r>
          </w:p>
        </w:tc>
        <w:tc>
          <w:tcPr>
            <w:tcW w:w="204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Properties</w:t>
              </w:r>
            </w:hyperlink>
          </w:p>
        </w:tc>
        <w:tc>
          <w:tcPr>
            <w:tcW w:w="7860" w:type="dxa"/>
            <w:vAlign w:val="bottom"/>
            <w:gridSpan w:val="12"/>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3.</w:t>
            </w:r>
          </w:p>
        </w:tc>
        <w:tc>
          <w:tcPr>
            <w:tcW w:w="990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4.</w:t>
            </w:r>
          </w:p>
        </w:tc>
        <w:tc>
          <w:tcPr>
            <w:tcW w:w="9900" w:type="dxa"/>
            <w:vAlign w:val="bottom"/>
            <w:gridSpan w:val="2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Mine Safety Disclosures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5.</w:t>
            </w:r>
          </w:p>
        </w:tc>
        <w:tc>
          <w:tcPr>
            <w:tcW w:w="9900" w:type="dxa"/>
            <w:vAlign w:val="bottom"/>
            <w:gridSpan w:val="2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6.</w:t>
            </w:r>
          </w:p>
        </w:tc>
        <w:tc>
          <w:tcPr>
            <w:tcW w:w="8060" w:type="dxa"/>
            <w:vAlign w:val="bottom"/>
            <w:gridSpan w:val="20"/>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Selected Financial Data</w:t>
              </w:r>
            </w:hyperlink>
          </w:p>
        </w:tc>
        <w:tc>
          <w:tcPr>
            <w:tcW w:w="1840" w:type="dxa"/>
            <w:vAlign w:val="bottom"/>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23</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7.</w:t>
            </w:r>
          </w:p>
        </w:tc>
        <w:tc>
          <w:tcPr>
            <w:tcW w:w="6460" w:type="dxa"/>
            <w:vAlign w:val="bottom"/>
            <w:gridSpan w:val="1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4"/>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24</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Item 7A.</w:t>
            </w:r>
          </w:p>
        </w:tc>
        <w:tc>
          <w:tcPr>
            <w:tcW w:w="4360" w:type="dxa"/>
            <w:vAlign w:val="bottom"/>
            <w:gridSpan w:val="1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100" w:type="dxa"/>
            <w:vAlign w:val="bottom"/>
            <w:gridSpan w:val="2"/>
          </w:tcPr>
          <w:p>
            <w:pPr>
              <w:spacing w:after="0"/>
              <w:rPr>
                <w:sz w:val="24"/>
                <w:szCs w:val="24"/>
                <w:color w:val="auto"/>
              </w:rPr>
            </w:pPr>
          </w:p>
        </w:tc>
        <w:tc>
          <w:tcPr>
            <w:tcW w:w="3440" w:type="dxa"/>
            <w:vAlign w:val="bottom"/>
            <w:gridSpan w:val="4"/>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8.</w:t>
            </w:r>
          </w:p>
        </w:tc>
        <w:tc>
          <w:tcPr>
            <w:tcW w:w="4360" w:type="dxa"/>
            <w:vAlign w:val="bottom"/>
            <w:gridSpan w:val="1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Financial Statements and Supplementary Data</w:t>
              </w:r>
            </w:hyperlink>
          </w:p>
        </w:tc>
        <w:tc>
          <w:tcPr>
            <w:tcW w:w="5540" w:type="dxa"/>
            <w:vAlign w:val="bottom"/>
            <w:gridSpan w:val="6"/>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0"/>
              </w:rPr>
              <w:t>Item 9.</w:t>
            </w:r>
          </w:p>
        </w:tc>
        <w:tc>
          <w:tcPr>
            <w:tcW w:w="9900" w:type="dxa"/>
            <w:vAlign w:val="bottom"/>
            <w:gridSpan w:val="2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Item 9A.</w:t>
            </w:r>
          </w:p>
        </w:tc>
        <w:tc>
          <w:tcPr>
            <w:tcW w:w="650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3400" w:type="dxa"/>
            <w:vAlign w:val="bottom"/>
            <w:gridSpan w:val="3"/>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2"/>
              </w:rPr>
              <w:t>Item 9B.</w:t>
            </w:r>
          </w:p>
        </w:tc>
        <w:tc>
          <w:tcPr>
            <w:tcW w:w="176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8140" w:type="dxa"/>
            <w:vAlign w:val="bottom"/>
            <w:gridSpan w:val="14"/>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PART III</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920" w:type="dxa"/>
            <w:vAlign w:val="bottom"/>
          </w:tcPr>
          <w:p>
            <w:pPr>
              <w:jc w:val="center"/>
              <w:spacing w:after="0"/>
              <w:rPr>
                <w:sz w:val="20"/>
                <w:szCs w:val="20"/>
                <w:color w:val="auto"/>
              </w:rPr>
            </w:pPr>
            <w:r>
              <w:rPr>
                <w:rFonts w:ascii="Arial" w:cs="Arial" w:eastAsia="Arial" w:hAnsi="Arial"/>
                <w:sz w:val="18"/>
                <w:szCs w:val="18"/>
                <w:color w:val="auto"/>
                <w:w w:val="92"/>
              </w:rPr>
              <w:t>Item 10.</w:t>
            </w:r>
          </w:p>
        </w:tc>
        <w:tc>
          <w:tcPr>
            <w:tcW w:w="990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Directors, Executive Officers and Corporate Governance</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89"/>
              </w:rPr>
              <w:t>Item 11.</w:t>
            </w:r>
          </w:p>
        </w:tc>
        <w:tc>
          <w:tcPr>
            <w:tcW w:w="1800" w:type="dxa"/>
            <w:vAlign w:val="bottom"/>
            <w:gridSpan w:val="8"/>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Executive Compensation</w:t>
              </w:r>
            </w:hyperlink>
          </w:p>
        </w:tc>
        <w:tc>
          <w:tcPr>
            <w:tcW w:w="2280" w:type="dxa"/>
            <w:vAlign w:val="bottom"/>
            <w:gridSpan w:val="6"/>
          </w:tcPr>
          <w:p>
            <w:pPr>
              <w:spacing w:after="0"/>
              <w:rPr>
                <w:sz w:val="24"/>
                <w:szCs w:val="24"/>
                <w:color w:val="auto"/>
              </w:rPr>
            </w:pPr>
          </w:p>
        </w:tc>
        <w:tc>
          <w:tcPr>
            <w:tcW w:w="5820" w:type="dxa"/>
            <w:vAlign w:val="bottom"/>
            <w:gridSpan w:val="7"/>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2"/>
              </w:rPr>
              <w:t>Item 12.</w:t>
            </w:r>
          </w:p>
        </w:tc>
        <w:tc>
          <w:tcPr>
            <w:tcW w:w="9900" w:type="dxa"/>
            <w:vAlign w:val="bottom"/>
            <w:gridSpan w:val="2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8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2"/>
              </w:rPr>
              <w:t>Item 13.</w:t>
            </w:r>
          </w:p>
        </w:tc>
        <w:tc>
          <w:tcPr>
            <w:tcW w:w="7280" w:type="dxa"/>
            <w:vAlign w:val="bottom"/>
            <w:gridSpan w:val="1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Certain Relationships and Related Transactions, and Director Independence</w:t>
              </w:r>
            </w:hyperlink>
          </w:p>
        </w:tc>
        <w:tc>
          <w:tcPr>
            <w:tcW w:w="2620" w:type="dxa"/>
            <w:vAlign w:val="bottom"/>
            <w:gridSpan w:val="2"/>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80" w:type="dxa"/>
            <w:vAlign w:val="bottom"/>
            <w:gridSpan w:val="9"/>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4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2"/>
              </w:rPr>
              <w:t>Item 14.</w:t>
            </w:r>
          </w:p>
        </w:tc>
        <w:tc>
          <w:tcPr>
            <w:tcW w:w="5440" w:type="dxa"/>
            <w:vAlign w:val="bottom"/>
            <w:gridSpan w:val="1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Principal Accountant Fees and Services</w:t>
              </w:r>
            </w:hyperlink>
          </w:p>
        </w:tc>
        <w:tc>
          <w:tcPr>
            <w:tcW w:w="4460" w:type="dxa"/>
            <w:vAlign w:val="bottom"/>
            <w:gridSpan w:val="5"/>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PART IV</w:t>
            </w:r>
          </w:p>
        </w:tc>
        <w:tc>
          <w:tcPr>
            <w:tcW w:w="1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920" w:type="dxa"/>
            <w:vAlign w:val="bottom"/>
          </w:tcPr>
          <w:p>
            <w:pPr>
              <w:jc w:val="center"/>
              <w:spacing w:after="0"/>
              <w:rPr>
                <w:sz w:val="20"/>
                <w:szCs w:val="20"/>
                <w:color w:val="auto"/>
              </w:rPr>
            </w:pPr>
            <w:r>
              <w:rPr>
                <w:rFonts w:ascii="Arial" w:cs="Arial" w:eastAsia="Arial" w:hAnsi="Arial"/>
                <w:sz w:val="18"/>
                <w:szCs w:val="18"/>
                <w:color w:val="auto"/>
                <w:w w:val="92"/>
              </w:rPr>
              <w:t>Item 15.</w:t>
            </w:r>
          </w:p>
        </w:tc>
        <w:tc>
          <w:tcPr>
            <w:tcW w:w="3160" w:type="dxa"/>
            <w:vAlign w:val="bottom"/>
            <w:gridSpan w:val="11"/>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Exhibits and Financial Statement Schedules</w:t>
              </w:r>
            </w:hyperlink>
          </w:p>
        </w:tc>
        <w:tc>
          <w:tcPr>
            <w:tcW w:w="6740" w:type="dxa"/>
            <w:vAlign w:val="bottom"/>
            <w:gridSpan w:val="10"/>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80" w:type="dxa"/>
            <w:vAlign w:val="bottom"/>
            <w:gridSpan w:val="10"/>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00" w:type="dxa"/>
            <w:vAlign w:val="bottom"/>
            <w:gridSpan w:val="2"/>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SIGNATURES</w:t>
              </w:r>
            </w:hyperlink>
          </w:p>
        </w:tc>
        <w:tc>
          <w:tcPr>
            <w:tcW w:w="9720" w:type="dxa"/>
            <w:vAlign w:val="bottom"/>
            <w:gridSpan w:val="20"/>
          </w:tcPr>
          <w:p>
            <w:pPr>
              <w:spacing w:after="0"/>
              <w:rPr>
                <w:sz w:val="24"/>
                <w:szCs w:val="24"/>
                <w:color w:val="auto"/>
              </w:rPr>
            </w:pPr>
          </w:p>
        </w:tc>
        <w:tc>
          <w:tcPr>
            <w:tcW w:w="560" w:type="dxa"/>
            <w:vAlign w:val="bottom"/>
            <w:gridSpan w:val="5"/>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44</w:t>
              </w:r>
            </w:hyperlink>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3340" w:type="dxa"/>
            <w:vAlign w:val="bottom"/>
            <w:gridSpan w:val="12"/>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0820" w:type="dxa"/>
            <w:vAlign w:val="bottom"/>
            <w:gridSpan w:val="22"/>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INDEX TO CONSOLIDATED FINANCIAL STATEMENTS</w:t>
              </w:r>
            </w:hyperlink>
          </w:p>
        </w:tc>
        <w:tc>
          <w:tcPr>
            <w:tcW w:w="560" w:type="dxa"/>
            <w:vAlign w:val="bottom"/>
            <w:gridSpan w:val="5"/>
          </w:tcPr>
          <w:p>
            <w:pPr>
              <w:jc w:val="right"/>
              <w:ind w:right="20"/>
              <w:spacing w:after="0"/>
              <w:rPr>
                <w:rFonts w:ascii="Arial" w:cs="Arial" w:eastAsia="Arial" w:hAnsi="Arial"/>
                <w:sz w:val="18"/>
                <w:szCs w:val="18"/>
                <w:color w:val="0000EE"/>
              </w:rPr>
            </w:pPr>
            <w:hyperlink w:anchor="page44">
              <w:r>
                <w:rPr>
                  <w:rFonts w:ascii="Arial" w:cs="Arial" w:eastAsia="Arial" w:hAnsi="Arial"/>
                  <w:sz w:val="18"/>
                  <w:szCs w:val="18"/>
                  <w:color w:val="0000EE"/>
                </w:rPr>
                <w:t>F-1</w:t>
              </w:r>
            </w:hyperlink>
          </w:p>
        </w:tc>
      </w:tr>
      <w:tr>
        <w:trPr>
          <w:trHeight w:val="20"/>
        </w:trPr>
        <w:tc>
          <w:tcPr>
            <w:tcW w:w="9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Inc.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those related to:</w:t>
      </w:r>
    </w:p>
    <w:p>
      <w:pPr>
        <w:spacing w:after="0" w:line="20"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 and machine-to-machine (“M2M”) products;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timely introduce new products successfully;</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integrate the operations of any business, products, technologies or personnel that we may acquire in the future;</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current and evolving industry standards and government regulations;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103" w:lineRule="exact"/>
        <w:rPr>
          <w:rFonts w:ascii="Arial" w:cs="Arial" w:eastAsia="Arial" w:hAnsi="Arial"/>
          <w:sz w:val="18"/>
          <w:szCs w:val="18"/>
          <w:color w:val="auto"/>
        </w:rPr>
      </w:pPr>
    </w:p>
    <w:p>
      <w:pPr>
        <w:ind w:left="640" w:right="460" w:hanging="321"/>
        <w:spacing w:after="0" w:line="360"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procure components and manufacture our products;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the manufacture and timely delivery of sufficient product quantities;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continuing impact of uncertain global economic conditions on the demand for our products;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be cost competitive while meeting time-to-market requirements for our customers;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the product performance needs of our customers in both mobile broadband and M2M markets;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wireless telecommunication operators delivering acceptable wireless services;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intellectual property litigation;</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and sale of our products;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introduction of new products that could contain errors or defects;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doing business abroad, including foreign currency risks;</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focused investments in research and development; and</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266"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this report. If one or more events related to these or other risks or uncertainties materialize, or if our underlying assumptions prove to be incorrect, actual results may differ materially from what we anticipate. Unless the context requires otherwise, in this Annual Report on Form 10-K the terms “we,” “us,” “our” and “Company” refer to Novatel Wireless, Inc. and its wholly owned and indirect subsidiaries.</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“Novatel Wireless”, the Novatel Wireless logo, “MiFi”, “MiFi Intelligent Mobile Hotspot”, “MiFi OS”, “MiFi Powered”, “MiFi Home”, “MobiLink”, “Ovation”, “Expedite” and “MiFi Freedom. My Way.” are trademarks or registered trademarks of Novatel Wireless, Inc. “Enfora”, the Enfora logo, “Spider”, “Enabling Information Anywhere”, “Enabler” and “N4A” are trademarks or registered trademarks of Enfora, Inc. (“Enfora”). Other trademarks, trade names or service marks used in this report are the property of their respective owners.</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integrated asset-management and mobile tracking machine-to-machine ("M2M") devices, communications and applications software and cloud services.</w:t>
      </w:r>
    </w:p>
    <w:p>
      <w:pPr>
        <w:spacing w:after="0" w:line="46"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Our mainstream Mobile Computing Products currently support Long Term Evolution ("LTE") platforms and other major cellular wireless technology platforms as required by our global carrier customers. Our mobile hotspots, embedded modules, and USB modems provide subscribers with secure and convenient high-speed access to corporate, public and personal information through the Internet and enterprise networks. Our mobile computing customer base is comprised of wireless operators, including Verizon Wireless, AT&amp;T and Sprint ; and other original equipment manufacturers, ("OEMs") as well as distributors.</w:t>
      </w:r>
    </w:p>
    <w:p>
      <w:pPr>
        <w:spacing w:after="0" w:line="5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M2M products enable devices to communicate with each other and with server or cloud-based application infrastructures. Our M2M customer base is comprised of transportation companies, industrial companies, manufacturers, application service providers, system integrators and distributors. Our solutions address multiple vertical markets for our customers including commercial telematics, after-market telematics, remote monitoring and control, security and connected home. We have strategic relationships with several of these customers that provide input and validation of our product requirements across the various vertical markets.</w:t>
      </w:r>
    </w:p>
    <w:p>
      <w:pPr>
        <w:spacing w:after="0" w:line="5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the years ended December 31, 2014, 2013 and 2012, net revenues recognized from sales of our products were $185.2 million, $335.1 million and $344.3 million, respectively.</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were incorporated in 1996 under the laws of the State of Delaware.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objective is to be a leading provider of intelligent wireless solutions. The key elements of our strategy are to:</w:t>
      </w:r>
    </w:p>
    <w:p>
      <w:pPr>
        <w:spacing w:after="0" w:line="279" w:lineRule="exact"/>
        <w:rPr>
          <w:sz w:val="20"/>
          <w:szCs w:val="20"/>
          <w:color w:val="auto"/>
        </w:rPr>
      </w:pPr>
    </w:p>
    <w:p>
      <w:pPr>
        <w:ind w:left="980" w:hanging="324"/>
        <w:spacing w:after="0" w:line="250" w:lineRule="auto"/>
        <w:tabs>
          <w:tab w:leader="none" w:pos="98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Lead the Intelligent Mobile Hotspot Product Category</w:t>
      </w:r>
      <w:r>
        <w:rPr>
          <w:rFonts w:ascii="Arial" w:cs="Arial" w:eastAsia="Arial" w:hAnsi="Arial"/>
          <w:sz w:val="17"/>
          <w:szCs w:val="17"/>
          <w:color w:val="auto"/>
        </w:rPr>
        <w:t>. We invented and developed the MiFi</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Intelligent Mobile Hotspot, a new category in</w:t>
      </w:r>
      <w:r>
        <w:rPr>
          <w:rFonts w:ascii="Arial" w:cs="Arial" w:eastAsia="Arial" w:hAnsi="Arial"/>
          <w:sz w:val="17"/>
          <w:szCs w:val="17"/>
          <w:i w:val="1"/>
          <w:iCs w:val="1"/>
          <w:color w:val="auto"/>
        </w:rPr>
        <w:t xml:space="preserve"> </w:t>
      </w:r>
      <w:r>
        <w:rPr>
          <w:rFonts w:ascii="Arial" w:cs="Arial" w:eastAsia="Arial" w:hAnsi="Arial"/>
          <w:sz w:val="17"/>
          <w:szCs w:val="17"/>
          <w:color w:val="auto"/>
        </w:rPr>
        <w:t>wireless mobile data devices. In May 2009, the first nationwide commercial deployment of MiFi hotspots was launched by Verizon Wireless. In 2014, we announced certain software enhancements to the MiFi technology platform that allowed us to differentiate our MiFi family of products based on key performance indicators such as usage time, throughput and value added software applications. During 2014, we shipped MiFi Intelligent Mobile Hotspots to all three leading US carriers: Verizon Wireless, AT&amp;T and Sprint.</w:t>
      </w:r>
    </w:p>
    <w:p>
      <w:pPr>
        <w:spacing w:after="0" w:line="302" w:lineRule="exact"/>
        <w:rPr>
          <w:rFonts w:ascii="Arial" w:cs="Arial" w:eastAsia="Arial" w:hAnsi="Arial"/>
          <w:sz w:val="17"/>
          <w:szCs w:val="17"/>
          <w:i w:val="1"/>
          <w:iCs w:val="1"/>
          <w:color w:val="auto"/>
        </w:rPr>
      </w:pPr>
    </w:p>
    <w:p>
      <w:pPr>
        <w:ind w:left="980" w:hanging="324"/>
        <w:spacing w:after="0" w:line="235" w:lineRule="auto"/>
        <w:tabs>
          <w:tab w:leader="none" w:pos="9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Leverage Our Mobile Computing Expertise and Technology Platforms to Expand Our M2M Portfolio. </w:t>
      </w:r>
      <w:r>
        <w:rPr>
          <w:rFonts w:ascii="Arial" w:cs="Arial" w:eastAsia="Arial" w:hAnsi="Arial"/>
          <w:sz w:val="18"/>
          <w:szCs w:val="18"/>
          <w:color w:val="auto"/>
        </w:rPr>
        <w:t>We are leveraging our Mobile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expertise, such as cellular wireless engineering radio development and the MiFi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Intelligent Mobile Hotspot technology platform, to expand our M2M portfolio. This enables us to leverage our development efforts, improve time-to-market and expand our portfolio in key markets. In 2014, the M2M-grade MiFi Powered SA 2100, available for telematics and telemetry applications, shipped through our global distribution channels targeting a number of M2M vertical markets.</w:t>
      </w:r>
    </w:p>
    <w:p>
      <w:pPr>
        <w:spacing w:after="0" w:line="150" w:lineRule="exact"/>
        <w:rPr>
          <w:rFonts w:ascii="Arial" w:cs="Arial" w:eastAsia="Arial" w:hAnsi="Arial"/>
          <w:sz w:val="18"/>
          <w:szCs w:val="18"/>
          <w:i w:val="1"/>
          <w:iCs w:val="1"/>
          <w:color w:val="auto"/>
        </w:rPr>
      </w:pPr>
    </w:p>
    <w:p>
      <w:pPr>
        <w:ind w:left="980" w:right="200" w:hanging="324"/>
        <w:spacing w:after="0" w:line="342"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Broaden Our M2M Product Offerings. </w:t>
      </w:r>
      <w:r>
        <w:rPr>
          <w:rFonts w:ascii="Arial" w:cs="Arial" w:eastAsia="Arial" w:hAnsi="Arial"/>
          <w:sz w:val="16"/>
          <w:szCs w:val="16"/>
          <w:color w:val="auto"/>
        </w:rPr>
        <w:t>We intend to diversify and continue to broaden our integrated solutions and embedded module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lines for commercial telematics, after-market telematics, remote monitoring and control, security and connected home applications.</w:t>
      </w:r>
    </w:p>
    <w:p>
      <w:pPr>
        <w:spacing w:after="0" w:line="69" w:lineRule="exact"/>
        <w:rPr>
          <w:rFonts w:ascii="Arial" w:cs="Arial" w:eastAsia="Arial" w:hAnsi="Arial"/>
          <w:sz w:val="16"/>
          <w:szCs w:val="16"/>
          <w:color w:val="auto"/>
        </w:rPr>
      </w:pPr>
    </w:p>
    <w:p>
      <w:pPr>
        <w:ind w:left="980" w:right="180" w:hanging="324"/>
        <w:spacing w:after="0" w:line="279"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Enhance Our M2M Software Support Through Our Device Manager or Service Delivery Platform</w:t>
      </w:r>
      <w:r>
        <w:rPr>
          <w:rFonts w:ascii="Arial" w:cs="Arial" w:eastAsia="Arial" w:hAnsi="Arial"/>
          <w:sz w:val="17"/>
          <w:szCs w:val="17"/>
          <w:color w:val="auto"/>
        </w:rPr>
        <w:t>. Through our N4A™ Device Manager</w:t>
      </w:r>
      <w:r>
        <w:rPr>
          <w:rFonts w:ascii="Arial" w:cs="Arial" w:eastAsia="Arial" w:hAnsi="Arial"/>
          <w:sz w:val="17"/>
          <w:szCs w:val="17"/>
          <w:i w:val="1"/>
          <w:iCs w:val="1"/>
          <w:color w:val="auto"/>
        </w:rPr>
        <w:t xml:space="preserve"> </w:t>
      </w:r>
      <w:r>
        <w:rPr>
          <w:rFonts w:ascii="Arial" w:cs="Arial" w:eastAsia="Arial" w:hAnsi="Arial"/>
          <w:sz w:val="17"/>
          <w:szCs w:val="17"/>
          <w:color w:val="auto"/>
        </w:rPr>
        <w:t>("DM") and N4A™ Communication and Management Software ("CMS"), we enable our customers’ applications to support their specific business needs. Automotive vehicle data such as driver location, driving behavior, driver ID, vehicle status, and device status is gathered from our integrated products and delivered to our software applications or service delivery platform.</w:t>
      </w:r>
    </w:p>
    <w:p>
      <w:pPr>
        <w:spacing w:after="0" w:line="225" w:lineRule="exact"/>
        <w:rPr>
          <w:rFonts w:ascii="Arial" w:cs="Arial" w:eastAsia="Arial" w:hAnsi="Arial"/>
          <w:sz w:val="17"/>
          <w:szCs w:val="17"/>
          <w:color w:val="auto"/>
        </w:rPr>
      </w:pPr>
    </w:p>
    <w:p>
      <w:pPr>
        <w:ind w:left="980" w:right="120" w:hanging="324"/>
        <w:spacing w:after="0" w:line="288"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Align Our Mobile Computing Product Offerings With Key Carrier Customers and Distributors. </w:t>
      </w:r>
      <w:r>
        <w:rPr>
          <w:rFonts w:ascii="Arial" w:cs="Arial" w:eastAsia="Arial" w:hAnsi="Arial"/>
          <w:sz w:val="16"/>
          <w:szCs w:val="16"/>
          <w:color w:val="auto"/>
        </w:rPr>
        <w:t>Leveraging our expertise in delivering wireless</w:t>
      </w:r>
      <w:r>
        <w:rPr>
          <w:rFonts w:ascii="Arial" w:cs="Arial" w:eastAsia="Arial" w:hAnsi="Arial"/>
          <w:sz w:val="16"/>
          <w:szCs w:val="16"/>
          <w:i w:val="1"/>
          <w:iCs w:val="1"/>
          <w:color w:val="auto"/>
        </w:rPr>
        <w:t xml:space="preserve"> </w:t>
      </w:r>
      <w:r>
        <w:rPr>
          <w:rFonts w:ascii="Arial" w:cs="Arial" w:eastAsia="Arial" w:hAnsi="Arial"/>
          <w:sz w:val="16"/>
          <w:szCs w:val="16"/>
          <w:color w:val="auto"/>
        </w:rPr>
        <w:t>broadband solutions, we support our key customers with innovation and product portfolio flexibility, enabling them to address both premium and value segments for their markets. Our products operate on the major wireless technology platforms, including Second Generation</w:t>
      </w:r>
    </w:p>
    <w:p>
      <w:pPr>
        <w:ind w:left="980"/>
        <w:spacing w:after="0"/>
        <w:rPr>
          <w:rFonts w:ascii="Arial" w:cs="Arial" w:eastAsia="Arial" w:hAnsi="Arial"/>
          <w:sz w:val="16"/>
          <w:szCs w:val="16"/>
          <w:color w:val="auto"/>
        </w:rPr>
      </w:pPr>
      <w:r>
        <w:rPr>
          <w:rFonts w:ascii="Arial" w:cs="Arial" w:eastAsia="Arial" w:hAnsi="Arial"/>
          <w:sz w:val="16"/>
          <w:szCs w:val="16"/>
          <w:color w:val="auto"/>
        </w:rPr>
        <w:t>(2G) networks: GSM, CDMA, GPRS; Third Generation (3G) networks: CDMA2000® 1xEV-DO, HSDPA and HSUPA; and Fourth Generation</w:t>
      </w:r>
    </w:p>
    <w:p>
      <w:pPr>
        <w:spacing w:after="0" w:line="3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(4G) networks: LTE, dual carrier HSPA+ and WiMAX.</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980" w:right="620" w:hanging="324"/>
        <w:spacing w:after="0" w:line="259"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Capitalize on Our Direct Relationships with Wireless Operators. </w:t>
      </w:r>
      <w:r>
        <w:rPr>
          <w:rFonts w:ascii="Arial" w:cs="Arial" w:eastAsia="Arial" w:hAnsi="Arial"/>
          <w:sz w:val="18"/>
          <w:szCs w:val="18"/>
          <w:color w:val="auto"/>
        </w:rPr>
        <w:t>We intend to continue to capitalize on our direct and long-standing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wireless operators in order to increase our worldwide market position. In the United States and internationally, we are working closely with wireless operators to provide the best mobile computing solutions and relevant M2M solutions to consumers and enterprise customers.</w:t>
      </w:r>
    </w:p>
    <w:p>
      <w:pPr>
        <w:spacing w:after="0" w:line="78" w:lineRule="exact"/>
        <w:rPr>
          <w:rFonts w:ascii="Arial" w:cs="Arial" w:eastAsia="Arial" w:hAnsi="Arial"/>
          <w:sz w:val="18"/>
          <w:szCs w:val="18"/>
          <w:i w:val="1"/>
          <w:iCs w:val="1"/>
          <w:color w:val="auto"/>
        </w:rPr>
      </w:pPr>
    </w:p>
    <w:p>
      <w:pPr>
        <w:ind w:left="980" w:right="20" w:hanging="324"/>
        <w:spacing w:after="0" w:line="25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Leverage Strategic Relationships. </w:t>
      </w:r>
      <w:r>
        <w:rPr>
          <w:rFonts w:ascii="Arial" w:cs="Arial" w:eastAsia="Arial" w:hAnsi="Arial"/>
          <w:sz w:val="18"/>
          <w:szCs w:val="18"/>
          <w:color w:val="auto"/>
        </w:rPr>
        <w:t>We believe that strategic relationships with wireless carriers and enterprises that utilize mobile computing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M2M technology are critical to our ability to leverage sales opportunities and ensure that our technology investments address customer needs. Through strategic relationships, we believe that we can increase market penetration and differentiate our products by leveraging resources and knowledge including sales, marketing and distribution systems. We are also addressing new market opportunities through innovation with our strategic partners.</w:t>
      </w:r>
    </w:p>
    <w:p>
      <w:pPr>
        <w:spacing w:after="0" w:line="80" w:lineRule="exact"/>
        <w:rPr>
          <w:rFonts w:ascii="Arial" w:cs="Arial" w:eastAsia="Arial" w:hAnsi="Arial"/>
          <w:sz w:val="18"/>
          <w:szCs w:val="18"/>
          <w:i w:val="1"/>
          <w:iCs w:val="1"/>
          <w:color w:val="auto"/>
        </w:rPr>
      </w:pPr>
    </w:p>
    <w:p>
      <w:pPr>
        <w:ind w:left="980" w:right="160" w:hanging="324"/>
        <w:spacing w:after="0" w:line="259"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Continue to Target Key Vertical Market Opportunities and Penetrate New M2M Markets. </w:t>
      </w:r>
      <w:r>
        <w:rPr>
          <w:rFonts w:ascii="Arial" w:cs="Arial" w:eastAsia="Arial" w:hAnsi="Arial"/>
          <w:sz w:val="18"/>
          <w:szCs w:val="18"/>
          <w:color w:val="auto"/>
        </w:rPr>
        <w:t>We believe that continuing developments in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will create additional vertical market opportunities and more applications for our products. Currently, we market our M2M solutions to key vertical industry segments by offering innovative solutions that are intended to increase productivity, reduce costs and create operational efficiencies.</w:t>
      </w:r>
    </w:p>
    <w:p>
      <w:pPr>
        <w:spacing w:after="0" w:line="78" w:lineRule="exact"/>
        <w:rPr>
          <w:rFonts w:ascii="Arial" w:cs="Arial" w:eastAsia="Arial" w:hAnsi="Arial"/>
          <w:sz w:val="18"/>
          <w:szCs w:val="18"/>
          <w:i w:val="1"/>
          <w:iCs w:val="1"/>
          <w:color w:val="auto"/>
        </w:rPr>
      </w:pPr>
    </w:p>
    <w:p>
      <w:pPr>
        <w:jc w:val="both"/>
        <w:ind w:left="980" w:right="24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Increase the Value of Our Products</w:t>
      </w:r>
      <w:r>
        <w:rPr>
          <w:rFonts w:ascii="Arial" w:cs="Arial" w:eastAsia="Arial" w:hAnsi="Arial"/>
          <w:sz w:val="16"/>
          <w:szCs w:val="16"/>
          <w:color w:val="auto"/>
        </w:rPr>
        <w:t>. We will continue to add new features, functionality and intellectual property to our products and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new services and software applications to enhance the overall value and ease of use that our products provide to our customers and end users.</w:t>
      </w:r>
    </w:p>
    <w:p>
      <w:pPr>
        <w:spacing w:after="0" w:line="177" w:lineRule="exact"/>
        <w:rPr>
          <w:rFonts w:ascii="Arial" w:cs="Arial" w:eastAsia="Arial" w:hAnsi="Arial"/>
          <w:sz w:val="16"/>
          <w:szCs w:val="16"/>
          <w:color w:val="auto"/>
        </w:rPr>
      </w:pPr>
    </w:p>
    <w:p>
      <w:pPr>
        <w:ind w:left="980" w:right="60" w:hanging="324"/>
        <w:spacing w:after="0" w:line="277" w:lineRule="auto"/>
        <w:tabs>
          <w:tab w:leader="none" w:pos="9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Acquire Companies that Accelerate the Growth of Our Business</w:t>
      </w:r>
      <w:r>
        <w:rPr>
          <w:rFonts w:ascii="Arial" w:cs="Arial" w:eastAsia="Arial" w:hAnsi="Arial"/>
          <w:sz w:val="18"/>
          <w:szCs w:val="18"/>
          <w:color w:val="auto"/>
        </w:rPr>
        <w:t>. We will continue to seek strategic acquisitions of companies in closely aligned</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 and technologies that will provide synergistic growth in revenue and profitability.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Segments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operate in the wireless communications industry in the following reportable segments:</w:t>
      </w:r>
    </w:p>
    <w:p>
      <w:pPr>
        <w:spacing w:after="0" w:line="171" w:lineRule="exact"/>
        <w:rPr>
          <w:sz w:val="20"/>
          <w:szCs w:val="20"/>
          <w:color w:val="auto"/>
        </w:rPr>
      </w:pPr>
    </w:p>
    <w:p>
      <w:pPr>
        <w:ind w:left="980" w:right="2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Mobile Computing Products-segment includes our MiFi brand of Intelligent Mobile Hotspot devices, USB modems and embedded modules that enable internet access and data transmission and services via cellular wireless networks.</w:t>
      </w:r>
    </w:p>
    <w:p>
      <w:pPr>
        <w:spacing w:after="0" w:line="116" w:lineRule="exact"/>
        <w:rPr>
          <w:rFonts w:ascii="Arial" w:cs="Arial" w:eastAsia="Arial" w:hAnsi="Arial"/>
          <w:sz w:val="18"/>
          <w:szCs w:val="18"/>
          <w:color w:val="auto"/>
        </w:rPr>
      </w:pPr>
    </w:p>
    <w:p>
      <w:pPr>
        <w:ind w:left="980" w:right="260" w:hanging="324"/>
        <w:spacing w:after="0" w:line="308"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M2M Products and Solutions-segment includes our M2M embedded modules, integrated M2M communications devices and our service delivery platform, the N4A™ DM and N4A™ CMS that provides easy device management and service enablement.</w:t>
      </w:r>
    </w:p>
    <w:p>
      <w:pPr>
        <w:spacing w:after="0" w:line="93"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Historically, our business units have had their own management teams and have offered different products and services. The business units have been aggregated into two reportable business segments based upon the nature of the products or services produced, the type of customer for the products, the similarity of economic characteristics and the manner in which management reviews results, among other considerations.</w:t>
      </w:r>
    </w:p>
    <w:p>
      <w:pPr>
        <w:spacing w:after="0" w:line="30"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Due to the restructuring activities, changes in executive management, re-assignments of responsibilities, product transfers between some of our subsidiaries and increasing synergies between our existing segments and the continued integration and consolidation of our mobile computing business with our M2M business, we are currently reevaluating our reportable segments composition.</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additional information on our segments, see Note 13 to our consolidated financial statements.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Mobile Computing Products</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a growing portfolio of leading-edge technology solutions that enable data transmission and services via cellular wireless networks. In 2014, we launched new products in our line of MiFi mobile hotspots that provided multi-mode support for CDMA and GSM networks. On September 29, 2014, we launched the new Verizon Jetpack® Mobile Hotspot 4G LTE/XLTE MiFi® 6620L. The MiFi 6620L is the first Verizon Wireless Jetpack that securely connects up to 15 devices to the Verizon XLTE network supporting up to 20 hours of use on a single charge and in some cases more. The MiFi 6620L is global ready, supporting a number of bands for connectivity in over 200 countries.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are our major Mobile Computing product lines:</w:t>
      </w:r>
    </w:p>
    <w:p>
      <w:pPr>
        <w:spacing w:after="0" w:line="171" w:lineRule="exact"/>
        <w:rPr>
          <w:sz w:val="20"/>
          <w:szCs w:val="20"/>
          <w:color w:val="auto"/>
        </w:rPr>
      </w:pPr>
    </w:p>
    <w:p>
      <w:pPr>
        <w:ind w:right="100" w:firstLine="432"/>
        <w:spacing w:after="0" w:line="226" w:lineRule="auto"/>
        <w:rPr>
          <w:sz w:val="20"/>
          <w:szCs w:val="20"/>
          <w:color w:val="auto"/>
        </w:rPr>
      </w:pPr>
      <w:r>
        <w:rPr>
          <w:rFonts w:ascii="Arial" w:cs="Arial" w:eastAsia="Arial" w:hAnsi="Arial"/>
          <w:sz w:val="18"/>
          <w:szCs w:val="18"/>
          <w:b w:val="1"/>
          <w:bCs w:val="1"/>
          <w:i w:val="1"/>
          <w:iCs w:val="1"/>
          <w:color w:val="auto"/>
        </w:rPr>
        <w:t>MiFi</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Brand of Intelligent Mobile Hotspot </w:t>
      </w:r>
      <w:r>
        <w:rPr>
          <w:rFonts w:ascii="Arial" w:cs="Arial" w:eastAsia="Arial" w:hAnsi="Arial"/>
          <w:sz w:val="18"/>
          <w:szCs w:val="18"/>
          <w:color w:val="auto"/>
        </w:rPr>
        <w:t>is our flagship product. Introduced in 2009, it quickly became a leading brand in mobile communications.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MiFi hotspots have gained acceptance as a standard connectivity option for Wi-Fi-enabled devices such as the iPad, Kindle, tablets, PCs, MP3 players, and gaming devices. MiFi hotspots function by connecting to a</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cellular-wireless network and creating a secure Wi-Fi signal that can connect to as many as 15 devices simultaneously. MiFi hotspots accounted for 69%, 74% and 72% of our revenue in 2014, 2013 and 2012, respectively.</w:t>
      </w:r>
    </w:p>
    <w:p>
      <w:pPr>
        <w:spacing w:after="0" w:line="62"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color w:val="auto"/>
        </w:rPr>
        <w:t>Our strategy for the MiFi platform is to innovate, focusing on ease of use, key performance indicators and value added features that take the device beyond just basic connectivity. Our MiFi 6620L securely connects up to 15 devices to the Verizon XLTE network supporting up to 20 hours of use on a single charge, and in some cases more. The MiFi 6620L is global ready, supporting a number of bands for connectivity in over 200 countries.</w:t>
      </w:r>
    </w:p>
    <w:p>
      <w:pPr>
        <w:spacing w:after="0" w:line="11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4G LTE Gateway </w:t>
      </w:r>
      <w:r>
        <w:rPr>
          <w:rFonts w:ascii="Arial" w:cs="Arial" w:eastAsia="Arial" w:hAnsi="Arial"/>
          <w:sz w:val="18"/>
          <w:szCs w:val="18"/>
          <w:color w:val="auto"/>
        </w:rPr>
        <w:t>branded MiFi Home™, available through Verizon Wireless and branded as the 4G LTE Broadband Router with Voice, is a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that supports both wireless voice and data. The wireless data support provides internet access over LTE and 1xRTT voice, which is software upgradeable to support high definition voice as VoLTE support becomes available on the carrier network.</w:t>
      </w:r>
    </w:p>
    <w:p>
      <w:pPr>
        <w:spacing w:after="0" w:line="12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Modems </w:t>
      </w:r>
      <w:r>
        <w:rPr>
          <w:rFonts w:ascii="Arial" w:cs="Arial" w:eastAsia="Arial" w:hAnsi="Arial"/>
          <w:sz w:val="18"/>
          <w:szCs w:val="18"/>
          <w:color w:val="auto"/>
        </w:rPr>
        <w:t>continue to be used to access wireless broadband networks. We originally introduced USB and PC-Card /ExpressCard® modems in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Europe, the Middle East and Africa and continue to provide advanced wireless access in the industry. USB and PC-Card modems accounted for 9%, 9% and 11% of our revenue in 2014, 2013 and 2012, respectively.</w:t>
      </w:r>
    </w:p>
    <w:p>
      <w:pPr>
        <w:spacing w:after="0" w:line="127" w:lineRule="exact"/>
        <w:rPr>
          <w:sz w:val="20"/>
          <w:szCs w:val="20"/>
          <w:color w:val="auto"/>
        </w:rPr>
      </w:pPr>
    </w:p>
    <w:p>
      <w:pPr>
        <w:ind w:right="300" w:firstLine="432"/>
        <w:spacing w:after="0" w:line="342" w:lineRule="auto"/>
        <w:rPr>
          <w:sz w:val="20"/>
          <w:szCs w:val="20"/>
          <w:color w:val="auto"/>
        </w:rPr>
      </w:pPr>
      <w:r>
        <w:rPr>
          <w:rFonts w:ascii="Arial" w:cs="Arial" w:eastAsia="Arial" w:hAnsi="Arial"/>
          <w:sz w:val="16"/>
          <w:szCs w:val="16"/>
          <w:b w:val="1"/>
          <w:bCs w:val="1"/>
          <w:i w:val="1"/>
          <w:iCs w:val="1"/>
          <w:color w:val="auto"/>
        </w:rPr>
        <w:t xml:space="preserve">Expedite® Embedded Modules </w:t>
      </w:r>
      <w:r>
        <w:rPr>
          <w:rFonts w:ascii="Arial" w:cs="Arial" w:eastAsia="Arial" w:hAnsi="Arial"/>
          <w:sz w:val="16"/>
          <w:szCs w:val="16"/>
          <w:color w:val="auto"/>
        </w:rPr>
        <w:t>are utilized in a wide range of computing devices, such as laptop PCs, netbooks, tablets and various other electronic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to provide wireless broadband access. Embedded modules accounted for 3%, 5% and 5% of our revenue in 2014, 2013 and 2012, respectively.</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M2M Products and Solutions</w:t>
      </w:r>
    </w:p>
    <w:p>
      <w:pPr>
        <w:spacing w:after="0" w:line="94"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During 2014, we expanded our M2M portfolio significantly by adding additional technologies and features to our line of M2M devices and embedded modules to improve performance and strengthen the competitive advantages of our solutions. M2M products and solutions accounted for 21%, 11% and 9% of our revenue in 2014, 2013 and 2012, respectively. M2M product lines consist of the following:</w:t>
      </w:r>
    </w:p>
    <w:p>
      <w:pPr>
        <w:spacing w:after="0" w:line="127" w:lineRule="exact"/>
        <w:rPr>
          <w:sz w:val="20"/>
          <w:szCs w:val="20"/>
          <w:color w:val="auto"/>
        </w:rPr>
      </w:pPr>
    </w:p>
    <w:p>
      <w:pPr>
        <w:ind w:right="260" w:firstLine="432"/>
        <w:spacing w:after="0" w:line="289" w:lineRule="auto"/>
        <w:rPr>
          <w:sz w:val="20"/>
          <w:szCs w:val="20"/>
          <w:color w:val="auto"/>
        </w:rPr>
      </w:pPr>
      <w:r>
        <w:rPr>
          <w:rFonts w:ascii="Arial" w:cs="Arial" w:eastAsia="Arial" w:hAnsi="Arial"/>
          <w:sz w:val="16"/>
          <w:szCs w:val="16"/>
          <w:b w:val="1"/>
          <w:bCs w:val="1"/>
          <w:i w:val="1"/>
          <w:iCs w:val="1"/>
          <w:color w:val="auto"/>
        </w:rPr>
        <w:t xml:space="preserve">MT and SA Integrated Solutions </w:t>
      </w:r>
      <w:r>
        <w:rPr>
          <w:rFonts w:ascii="Arial" w:cs="Arial" w:eastAsia="Arial" w:hAnsi="Arial"/>
          <w:sz w:val="16"/>
          <w:szCs w:val="16"/>
          <w:color w:val="auto"/>
        </w:rPr>
        <w:t>bring together essential elements for telematics and telemetry applications that service a number of vertical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 The telemetry solutions monitor, manage and provide two-way communication to mobile and fixed assets and the telematics solutions provide vehicle tracking and diagnostics, along with workforce tracking and management functions. We add value by developing solutions to meet the needs of specific customers, with a particular emphasis on select vertical markets including: transportation and logistics, usage-based insurance, security and asset tracking, digital signage, industrial automation and smart grid and remote patient monitoring. These solutions can be scaled from a small fleet customer to company-wide enterprise deployments. Our M2M solutions are programmable and can be customized to collect specific types of data as required by a customer. Combining the device with our robust N4A™ DM and N4A CMS platform, assets can easily be monitored, managed and reconfigured remotely from almost anywhere in the world. By combining the N4A CMS platform with the intelligence of the integrated M2M devices, customers will gain a solution that offers ease-of-deployment and superior, reliable performance in small and flexible packages.</w:t>
      </w:r>
    </w:p>
    <w:p>
      <w:pPr>
        <w:spacing w:after="0" w:line="3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In 2014, we achieved network certification for some of our advanced M2M solutions through Verizon Wireless and AT&amp;T, in addition to certifications from a number of regulatory bodies including Conformite Europeenne (CE), Global Certification Forum (GCF) and PTCRB to operate in Europe, the Middle East and Africa.</w:t>
      </w:r>
    </w:p>
    <w:p>
      <w:pPr>
        <w:spacing w:after="0" w:line="127"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b w:val="1"/>
          <w:bCs w:val="1"/>
          <w:i w:val="1"/>
          <w:iCs w:val="1"/>
          <w:color w:val="auto"/>
        </w:rPr>
        <w:t xml:space="preserve">N4A™ Software and Design Services </w:t>
      </w:r>
      <w:r>
        <w:rPr>
          <w:rFonts w:ascii="Arial" w:cs="Arial" w:eastAsia="Arial" w:hAnsi="Arial"/>
          <w:sz w:val="18"/>
          <w:szCs w:val="18"/>
          <w:color w:val="auto"/>
        </w:rPr>
        <w:t>include our N4A™ DM and N4A™ CMS and design services that we provide to other companies, primarily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 management solutions. Our N4A CMS 4.1 platform is a next-generation service delivery platform that eases the development, deployment, and operation of asset-management applications. N4A CMS provides a standardized, scalable way to connect and manage remote assets and improve business operations. The platform is flexible and supports both on-premise server or cloud-based deployments and is the basis for delivery of a wide range of M2M services.</w:t>
      </w:r>
    </w:p>
    <w:p>
      <w:pPr>
        <w:spacing w:after="0" w:line="134" w:lineRule="exact"/>
        <w:rPr>
          <w:sz w:val="20"/>
          <w:szCs w:val="20"/>
          <w:color w:val="auto"/>
        </w:rPr>
      </w:pPr>
    </w:p>
    <w:p>
      <w:pPr>
        <w:ind w:right="140" w:firstLine="432"/>
        <w:spacing w:after="0" w:line="241" w:lineRule="auto"/>
        <w:rPr>
          <w:sz w:val="20"/>
          <w:szCs w:val="20"/>
          <w:color w:val="auto"/>
        </w:rPr>
      </w:pPr>
      <w:r>
        <w:rPr>
          <w:rFonts w:ascii="Arial" w:cs="Arial" w:eastAsia="Arial" w:hAnsi="Arial"/>
          <w:sz w:val="18"/>
          <w:szCs w:val="18"/>
          <w:b w:val="1"/>
          <w:bCs w:val="1"/>
          <w:i w:val="1"/>
          <w:iCs w:val="1"/>
          <w:color w:val="auto"/>
        </w:rPr>
        <w:t>Enabler</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and Expedite Embedded Module Solutions </w:t>
      </w:r>
      <w:r>
        <w:rPr>
          <w:rFonts w:ascii="Arial" w:cs="Arial" w:eastAsia="Arial" w:hAnsi="Arial"/>
          <w:sz w:val="18"/>
          <w:szCs w:val="18"/>
          <w:color w:val="auto"/>
        </w:rPr>
        <w:t>are integrated into various products or equipment so that those assets may communicate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computers. These M2M applications enable back-end IT systems to send and receive data from remote assets. These modules are ideal for markets including but not limited to security, advertising, telemetry, POS, mHealth, AVL and AMI/AMR market segments looking for high reliability and a common design across multiple technologies. A common example is modules for smart meters that transmit data about location, energy consumption, and abnormal situations to an energy supplier for usage monitoring and billing purposes. In 2014, the Enabler module HS 3001 was recognized as a best in class smart merchandising solution through award-winning innovations developed by our partners, including an “Interactive Tap Handle” deployed by a leading American brewer designed to display dynamic messages and a Cellular Billboard Timer that enables outdoor billboard companies to operate their signs remotely.</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4" w:lineRule="exact"/>
        <w:rPr>
          <w:sz w:val="20"/>
          <w:szCs w:val="20"/>
          <w:color w:val="auto"/>
        </w:rPr>
      </w:pPr>
    </w:p>
    <w:p>
      <w:pPr>
        <w:ind w:right="300" w:firstLine="432"/>
        <w:spacing w:after="0" w:line="259" w:lineRule="auto"/>
        <w:rPr>
          <w:sz w:val="20"/>
          <w:szCs w:val="20"/>
          <w:color w:val="auto"/>
        </w:rPr>
      </w:pPr>
      <w:r>
        <w:rPr>
          <w:rFonts w:ascii="Arial" w:cs="Arial" w:eastAsia="Arial" w:hAnsi="Arial"/>
          <w:sz w:val="18"/>
          <w:szCs w:val="18"/>
          <w:color w:val="auto"/>
        </w:rPr>
        <w:t>Our customer base is comprised of wireless operators, distributors, OEMs and various companies in vertical markets. Our tier-one wireless-operator customers include Verizon Wireless, AT&amp;T and Sprint. Our M2M customer base is a mix across various verticals including customers such as RAC Monitoring Services, Telogis, Modus Group, Premier Wireless, Linear Technology, Vehicle Tracking Solutions LLC, Fleetmatics, DigiCore Holdings Ltd. and Nextraq.</w:t>
      </w:r>
    </w:p>
    <w:p>
      <w:pPr>
        <w:spacing w:after="0" w:line="5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We also have strategic technology, development and marketing relationships with several of our customers. Our strong customer relationships provide us with the opportunity to expand our market reach and sales.</w:t>
      </w:r>
    </w:p>
    <w:p>
      <w:pPr>
        <w:spacing w:after="0" w:line="35" w:lineRule="exact"/>
        <w:rPr>
          <w:sz w:val="20"/>
          <w:szCs w:val="20"/>
          <w:color w:val="auto"/>
        </w:rPr>
      </w:pPr>
    </w:p>
    <w:p>
      <w:pPr>
        <w:ind w:left="980" w:right="120" w:hanging="324"/>
        <w:spacing w:after="0" w:line="259" w:lineRule="auto"/>
        <w:tabs>
          <w:tab w:leader="none" w:pos="9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Wireless Operators and Distributors</w:t>
      </w:r>
      <w:r>
        <w:rPr>
          <w:rFonts w:ascii="Arial" w:cs="Arial" w:eastAsia="Arial" w:hAnsi="Arial"/>
          <w:sz w:val="18"/>
          <w:szCs w:val="18"/>
          <w:color w:val="auto"/>
        </w:rPr>
        <w:t>. By working closely with our wireless operator and distributor customers, we are able to combine our</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in wireless technologies with our customers’ sales and marketing reach over a global subscriber base, leading to an increased demand for our products. Our customers also provide us with important services, including field trial participation, technical support, wireless data marketing and access to additional indirect distribution channels.</w:t>
      </w:r>
    </w:p>
    <w:p>
      <w:pPr>
        <w:spacing w:after="0" w:line="78" w:lineRule="exact"/>
        <w:rPr>
          <w:rFonts w:ascii="Arial" w:cs="Arial" w:eastAsia="Arial" w:hAnsi="Arial"/>
          <w:sz w:val="18"/>
          <w:szCs w:val="18"/>
          <w:i w:val="1"/>
          <w:iCs w:val="1"/>
          <w:color w:val="auto"/>
        </w:rPr>
      </w:pPr>
    </w:p>
    <w:p>
      <w:pPr>
        <w:ind w:left="980" w:right="60" w:hanging="324"/>
        <w:spacing w:after="0" w:line="27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M2M Customers</w:t>
      </w:r>
      <w:r>
        <w:rPr>
          <w:rFonts w:ascii="Arial" w:cs="Arial" w:eastAsia="Arial" w:hAnsi="Arial"/>
          <w:sz w:val="17"/>
          <w:szCs w:val="17"/>
          <w:color w:val="auto"/>
        </w:rPr>
        <w:t>. We believe the M2M market provides substantial opportunities for growth. M2M and smart-systems technologies are being</w:t>
      </w:r>
      <w:r>
        <w:rPr>
          <w:rFonts w:ascii="Arial" w:cs="Arial" w:eastAsia="Arial" w:hAnsi="Arial"/>
          <w:sz w:val="17"/>
          <w:szCs w:val="17"/>
          <w:i w:val="1"/>
          <w:iCs w:val="1"/>
          <w:color w:val="auto"/>
        </w:rPr>
        <w:t xml:space="preserve"> </w:t>
      </w:r>
      <w:r>
        <w:rPr>
          <w:rFonts w:ascii="Arial" w:cs="Arial" w:eastAsia="Arial" w:hAnsi="Arial"/>
          <w:sz w:val="17"/>
          <w:szCs w:val="17"/>
          <w:color w:val="auto"/>
        </w:rPr>
        <w:t>integrated into a growing number of manufactured devices and machines, whether fixed, movable or fully mobile. We have a growing market presence in many of the high-growth segments of the M2M market, including commercial telematics, after-market telematics, remote monitoring and control, security and connected home. We expect to work with these customers to develop customized solutions that incorporate our software and other intellectual property, which will provide significant product differentiation.</w:t>
      </w:r>
    </w:p>
    <w:p>
      <w:pPr>
        <w:spacing w:after="0" w:line="64" w:lineRule="exact"/>
        <w:rPr>
          <w:rFonts w:ascii="Arial" w:cs="Arial" w:eastAsia="Arial" w:hAnsi="Arial"/>
          <w:sz w:val="17"/>
          <w:szCs w:val="17"/>
          <w:color w:val="auto"/>
        </w:rPr>
      </w:pPr>
    </w:p>
    <w:p>
      <w:pPr>
        <w:ind w:left="980" w:right="80" w:hanging="324"/>
        <w:spacing w:after="0" w:line="302" w:lineRule="auto"/>
        <w:tabs>
          <w:tab w:leader="none" w:pos="98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OEMs</w:t>
      </w:r>
      <w:r>
        <w:rPr>
          <w:rFonts w:ascii="Arial" w:cs="Arial" w:eastAsia="Arial" w:hAnsi="Arial"/>
          <w:sz w:val="16"/>
          <w:szCs w:val="16"/>
          <w:color w:val="auto"/>
        </w:rPr>
        <w:t>. Our OEM customers integrate our products into devices that they manufacture and sell through their own direct sales forces and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channels. Our products are capable of being integrated into a broad range of devices that utilize wireless-data capabilities. We seek to build strong relationships with our OEM partners by working closely with them and providing radio frequency, ("RF"), design consulting, performance optimization, software integration and customization and application engineering support during the integration of our products.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4"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continue to develop and maintain strategic relationships with wireless and computer industry leaders such as QUALCOMM, Verizon Wireless, AT&amp;T, Sprint, and major software vendors. Through strategic relationships, we have been able to increase market penetration by leveraging the resources, knowledge and technology of our channel partners.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We sell our Mobile Computing Products primarily to wireless operators either directly or through strategic relationships, as well as to OEM partners and distributors located worldwide. Most of our Mobile Computing Products are sold directly by our sales force, or to a lesser degree, through distributors.</w:t>
      </w:r>
    </w:p>
    <w:p>
      <w:pPr>
        <w:spacing w:after="0" w:line="16"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In order to maintain strong sales relationships, we provide co-marketing, trade show support, product training and demo units for merchandising. We are also engaged in a wide variety of activities, such as awareness and lead-generation programs, as well as product marketing. Other marketing initiatives include public relations, seminars and co-branding with partners.</w:t>
      </w:r>
    </w:p>
    <w:p>
      <w:pPr>
        <w:spacing w:after="0" w:line="73"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We sell our M2M Products and Solutions primarily to enterprises in the following industries: transportation; energy and industrial automation; security and safety; and medical monitoring. We sell our M2M Products and Solutions through our direct sales force and through distributors.</w:t>
      </w:r>
    </w:p>
    <w:p>
      <w:pPr>
        <w:spacing w:after="0" w:line="3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significant portion of our revenue comes from a small number of customers. Our revenues from sales to Verizon Wireless represented approximately 52% of our total revenues for the year ended December 31, 2014.</w:t>
      </w:r>
    </w:p>
    <w:p>
      <w:pPr>
        <w:spacing w:after="0" w:line="62"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A substantial majority of our revenue is derived from sales in the U.S. See Note 13 to our consolidated financial statements for a discussion of our revenue and asset concentrations by geographic location.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Research and Development</w:t>
      </w:r>
    </w:p>
    <w:p>
      <w:pPr>
        <w:spacing w:after="0" w:line="175"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Our research and development efforts are focused on developing innovative new wireless products and improving the functionality, design and performance of our existing products. Our research and development expenses for the years ended December 31, 2014, 2013 and 2012 were $34.3 million, $48.2 million and $60.4 million, respectively.</w:t>
      </w:r>
    </w:p>
    <w:p>
      <w:pPr>
        <w:spacing w:after="0" w:line="73" w:lineRule="exact"/>
        <w:rPr>
          <w:sz w:val="20"/>
          <w:szCs w:val="20"/>
          <w:color w:val="auto"/>
        </w:rPr>
      </w:pPr>
    </w:p>
    <w:p>
      <w:pPr>
        <w:ind w:right="500" w:firstLine="432"/>
        <w:spacing w:after="0" w:line="277" w:lineRule="auto"/>
        <w:rPr>
          <w:sz w:val="20"/>
          <w:szCs w:val="20"/>
          <w:color w:val="auto"/>
        </w:rPr>
      </w:pPr>
      <w:r>
        <w:rPr>
          <w:rFonts w:ascii="Arial" w:cs="Arial" w:eastAsia="Arial" w:hAnsi="Arial"/>
          <w:sz w:val="18"/>
          <w:szCs w:val="18"/>
          <w:color w:val="auto"/>
        </w:rPr>
        <w:t>In both segments, we intend to continue to identify and respond to our customers’ needs by introducing new product designs with an emphasis on supporting cutting edge wireless data technology, ease-of-use, performance, weight, cost and power consumption.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manage our products through a structured life-cycle process, from identifying initial customer requirements through development and commercial introduction to eventual phase-out. During product development, emphasis is placed on innovation, time-to-market, performance, meeting industry standards and customer-product specifications, ease of integration, cost reduction, manufacturability, quality and reliability.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product development efforts leverage our core expertise in the following key technology areas:</w:t>
      </w:r>
    </w:p>
    <w:p>
      <w:pPr>
        <w:spacing w:after="0" w:line="117" w:lineRule="exact"/>
        <w:rPr>
          <w:sz w:val="20"/>
          <w:szCs w:val="20"/>
          <w:color w:val="auto"/>
        </w:rPr>
      </w:pPr>
    </w:p>
    <w:p>
      <w:pPr>
        <w:ind w:left="980" w:right="160" w:hanging="324"/>
        <w:spacing w:after="0" w:line="259" w:lineRule="auto"/>
        <w:tabs>
          <w:tab w:leader="none" w:pos="98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Advanced Radio Frequency and Hardware Design. </w:t>
      </w:r>
      <w:r>
        <w:rPr>
          <w:rFonts w:ascii="Arial" w:cs="Arial" w:eastAsia="Arial" w:hAnsi="Arial"/>
          <w:sz w:val="18"/>
          <w:szCs w:val="18"/>
          <w:color w:val="auto"/>
        </w:rPr>
        <w:t>Advanced RF design is a key technology that determines the performance of wireless</w:t>
      </w:r>
      <w:r>
        <w:rPr>
          <w:rFonts w:ascii="Arial" w:cs="Arial" w:eastAsia="Arial" w:hAnsi="Arial"/>
          <w:sz w:val="18"/>
          <w:szCs w:val="18"/>
          <w:i w:val="1"/>
          <w:iCs w:val="1"/>
          <w:color w:val="auto"/>
        </w:rPr>
        <w:t xml:space="preserve"> </w:t>
      </w:r>
      <w:r>
        <w:rPr>
          <w:rFonts w:ascii="Arial" w:cs="Arial" w:eastAsia="Arial" w:hAnsi="Arial"/>
          <w:sz w:val="18"/>
          <w:szCs w:val="18"/>
          <w:color w:val="auto"/>
        </w:rPr>
        <w:t>devices. We have specialized in 700/800/900/1800/1900/2100/2500 MHz and AWS designs for digital cellular, packet data, CDMA, HSPA, WiMAX and LTE technologies. Our expertise in RF, baseband, and firmware technology contributes to the performance, cost advantages and small size of our products.</w:t>
      </w:r>
    </w:p>
    <w:p>
      <w:pPr>
        <w:spacing w:after="0" w:line="186" w:lineRule="exact"/>
        <w:rPr>
          <w:rFonts w:ascii="Arial" w:cs="Arial" w:eastAsia="Arial" w:hAnsi="Arial"/>
          <w:sz w:val="18"/>
          <w:szCs w:val="18"/>
          <w:i w:val="1"/>
          <w:iCs w:val="1"/>
          <w:color w:val="auto"/>
        </w:rPr>
      </w:pPr>
    </w:p>
    <w:p>
      <w:pPr>
        <w:ind w:left="980" w:right="140" w:hanging="324"/>
        <w:spacing w:after="0" w:line="264"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Miniaturization and System Integration</w:t>
      </w:r>
      <w:r>
        <w:rPr>
          <w:rFonts w:ascii="Arial" w:cs="Arial" w:eastAsia="Arial" w:hAnsi="Arial"/>
          <w:sz w:val="18"/>
          <w:szCs w:val="18"/>
          <w:color w:val="auto"/>
        </w:rPr>
        <w:t>. Our expertise includes the integration of RF and baseband chipsets and printed circuit board, or PCB</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We will continue to augment our miniaturization technology, working to further reduce the size and cost of current and future products.</w:t>
      </w:r>
    </w:p>
    <w:p>
      <w:pPr>
        <w:spacing w:after="0" w:line="235" w:lineRule="exact"/>
        <w:rPr>
          <w:rFonts w:ascii="Arial" w:cs="Arial" w:eastAsia="Arial" w:hAnsi="Arial"/>
          <w:sz w:val="18"/>
          <w:szCs w:val="18"/>
          <w:color w:val="auto"/>
        </w:rPr>
      </w:pPr>
    </w:p>
    <w:p>
      <w:pPr>
        <w:ind w:left="980" w:right="40" w:hanging="324"/>
        <w:spacing w:after="0" w:line="259"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Software Development. </w:t>
      </w:r>
      <w:r>
        <w:rPr>
          <w:rFonts w:ascii="Arial" w:cs="Arial" w:eastAsia="Arial" w:hAnsi="Arial"/>
          <w:sz w:val="18"/>
          <w:szCs w:val="18"/>
          <w:color w:val="auto"/>
        </w:rPr>
        <w:t>We specialize in integrating and customizing 3G and 4G software to meet carrier and regulatory requirements.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supply end-to-end solutions to enable our customers to achieve a time-to-market advantage. This includes firmware that runs on a modem processor, drivers for various host operating systems, software development kits, modem-manager software that controls modem operation and server applications for over-the-air updates.</w:t>
      </w:r>
    </w:p>
    <w:p>
      <w:pPr>
        <w:spacing w:after="0" w:line="240"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Embedded Operating System. </w:t>
      </w:r>
      <w:r>
        <w:rPr>
          <w:rFonts w:ascii="Arial" w:cs="Arial" w:eastAsia="Arial" w:hAnsi="Arial"/>
          <w:sz w:val="18"/>
          <w:szCs w:val="18"/>
          <w:color w:val="auto"/>
        </w:rPr>
        <w:t>We have developed an embedded operating system that runs applications on our mobile hotspot products and</w:t>
      </w:r>
      <w:r>
        <w:rPr>
          <w:rFonts w:ascii="Arial" w:cs="Arial" w:eastAsia="Arial" w:hAnsi="Arial"/>
          <w:sz w:val="18"/>
          <w:szCs w:val="18"/>
          <w:i w:val="1"/>
          <w:iCs w:val="1"/>
          <w:color w:val="auto"/>
        </w:rPr>
        <w:t xml:space="preserve"> </w:t>
      </w:r>
      <w:r>
        <w:rPr>
          <w:rFonts w:ascii="Arial" w:cs="Arial" w:eastAsia="Arial" w:hAnsi="Arial"/>
          <w:sz w:val="18"/>
          <w:szCs w:val="18"/>
          <w:color w:val="auto"/>
        </w:rPr>
        <w:t>allows us to introduce innovative applications.</w:t>
      </w:r>
    </w:p>
    <w:p>
      <w:pPr>
        <w:spacing w:after="0" w:line="224"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M2M Solutions. </w:t>
      </w:r>
      <w:r>
        <w:rPr>
          <w:rFonts w:ascii="Arial" w:cs="Arial" w:eastAsia="Arial" w:hAnsi="Arial"/>
          <w:sz w:val="18"/>
          <w:szCs w:val="18"/>
          <w:color w:val="auto"/>
        </w:rPr>
        <w:t>We have developed customized asset-tracking systems and service-delivery platforms that utilize advanced radio-frequency</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specialized software that interfaces with the information technology systems of our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175"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current contract manufacturers include:</w:t>
      </w:r>
    </w:p>
    <w:p>
      <w:pPr>
        <w:spacing w:after="0" w:line="1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Mobile Computing Products and M2M Products and Solutions</w:t>
      </w:r>
    </w:p>
    <w:p>
      <w:pPr>
        <w:spacing w:after="0" w:line="9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Inventec Appliances Corporation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Hon Hai Precision Industry Co., Ltd.</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M2M Products and Solutions</w:t>
      </w:r>
    </w:p>
    <w:p>
      <w:pPr>
        <w:spacing w:after="0" w:line="10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Benchmark Electronics</w:t>
      </w:r>
    </w:p>
    <w:p>
      <w:pPr>
        <w:spacing w:after="0" w:line="15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These contract manufacturers are located in China and Thailand and are able to produce our products using modern state-of-the-art equipment and facilities and relatively low-cost labor.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outsource our manufacturing in an effort to:</w:t>
      </w:r>
    </w:p>
    <w:p>
      <w:pPr>
        <w:spacing w:after="0" w:line="17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focus on our core competencies of design, development and marketing;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minimize our capital expenditures and lease obligations;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realize manufacturing economies of scale;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production scalability by adjusting manufacturing volumes to meet changes in demand;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best-in-class component procurement and manufacturing resources.</w:t>
      </w:r>
    </w:p>
    <w:p>
      <w:pPr>
        <w:spacing w:after="0" w:line="117" w:lineRule="exact"/>
        <w:rPr>
          <w:sz w:val="20"/>
          <w:szCs w:val="20"/>
          <w:color w:val="auto"/>
        </w:rPr>
      </w:pPr>
    </w:p>
    <w:p>
      <w:pPr>
        <w:ind w:right="120" w:firstLine="432"/>
        <w:spacing w:after="0" w:line="297" w:lineRule="auto"/>
        <w:rPr>
          <w:sz w:val="20"/>
          <w:szCs w:val="20"/>
          <w:color w:val="auto"/>
        </w:rPr>
      </w:pPr>
      <w:r>
        <w:rPr>
          <w:rFonts w:ascii="Arial" w:cs="Arial" w:eastAsia="Arial" w:hAnsi="Arial"/>
          <w:sz w:val="16"/>
          <w:szCs w:val="16"/>
          <w:color w:val="auto"/>
        </w:rPr>
        <w:t>We believe that additional manufacturing efficiencies are realized due to our product architecture and our commitment to process design. Direct materials for our products consist of custom tooled parts such as printed circuit boards, molded plastic components and fabricated metal components, semi-custom parts such as batteries and cables, as well as industry-standard components such as Application Specific Integrated Circuits, RF power amplifiers, flash memory, transistors, integrated circuits, piezo-electric filters, duplexers, inductors, resistors and capacitors. Many of the components used in our products are similar to those used in cellular telephone handsets, helping to reduce our component costs through the use of standard parts.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24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Our operations organization manages our relationships with the contract manufacturers as well as other key suppliers. Our operations team focuses on supply chain management, quality, cost optimization, customer order management and new product introduction.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4"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Our solutions rely on and benefit from our portfolio of intellectual property, including patents and trademarks. We currently own 30 United States patents. In addition, we currently have 21 patent applications pending. From time to time, we also seek to have our patents registered in selected foreign jurisdictions. The patents that we currently own expire at various times between 2020 and 2031.</w:t>
      </w:r>
    </w:p>
    <w:p>
      <w:pPr>
        <w:spacing w:after="0" w:line="46"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We have licensed software and other intellectual property for use in our products from third-parties, such as QUALCOMM. In the case of QUALCOMM, these licenses allow us to manufacture CDMA, UMTS, HSPA, EV-DO, and LTE-based wireless modems and to sell or distribute them worldwide. In connection with such sales, we pay royalties to QUALCOMM. The license from QUALCOMM does not have a specified term and may be terminated by us or by QUALCOMM for cause or upon the occurrence of other specified events. In addition, we may terminate the licenses for any reason upon 60 days prior written notice. We have also granted to QUALCOMM a nontransferable, worldwide, nonexclusive, fully-paid and royalty-free license to use, in connection with wireless communications applications, certain of our intellectual property that incorporates the technology licensed to us by QUALCOMM. This license allows QUALCOMM to make, use, sell or dispose of such products and the related components.</w:t>
      </w:r>
    </w:p>
    <w:p>
      <w:pPr>
        <w:spacing w:after="0" w:line="70"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We have also licensed software and other intellectual property for use in our products from various third-parties, such as Ericsson and Siemens, allowing us to use the licensed intellectual property for the worldwide manufacture and sale of GSM-based wireless devices. We pay royalties in connection with such sales. The licenses do not have a specified term and may be terminated by either party for cause or upon the occurrence of other specified events.</w:t>
      </w:r>
    </w:p>
    <w:p>
      <w:pPr>
        <w:spacing w:after="0" w:line="39"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We also hold a number of trademarks including “Novatel Wireless”, the Novatel Wireless logo, “MiFi”, “MiFi Intelligent Mobile Hotspot”, “MiFi OS”, “MiFi Powered”, “MiFi Home”, “MobiLink”, “Ovation”, “Expedite”, “MiFi Freedom. My Way.”, “Enfora”, the Enfora logo, “Spider”, “Enabling Information Anywhere”, “Enabler” and “N4A”.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do not believe that backlog is currently a meaningful indicator of our future business prospects due to the many variables, some of which are outside of our control, which could cause the actual volume of our product shipments to differ from those that comprise our backlog. Additionally, we sometimes have relatively short lead times between receipt of customer purchase orders and shipment of products.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market for wireless broadband access and M2M solutions is rapidly evolving and highly competitive. It is likely to continue to be significantly affected by the evolution of new wireless technology standards, additional companies entering the market, new product introductions and the product pricing and other market activities of industry participants.</w:t>
      </w:r>
    </w:p>
    <w:p>
      <w:pPr>
        <w:spacing w:after="0" w:line="127" w:lineRule="exact"/>
        <w:rPr>
          <w:sz w:val="20"/>
          <w:szCs w:val="20"/>
          <w:color w:val="auto"/>
        </w:rPr>
      </w:pPr>
    </w:p>
    <w:p>
      <w:pPr>
        <w:jc w:val="both"/>
        <w:ind w:right="320" w:firstLine="432"/>
        <w:spacing w:after="0" w:line="312" w:lineRule="auto"/>
        <w:rPr>
          <w:sz w:val="20"/>
          <w:szCs w:val="20"/>
          <w:color w:val="auto"/>
        </w:rPr>
      </w:pPr>
      <w:r>
        <w:rPr>
          <w:rFonts w:ascii="Arial" w:cs="Arial" w:eastAsia="Arial" w:hAnsi="Arial"/>
          <w:sz w:val="16"/>
          <w:szCs w:val="16"/>
          <w:color w:val="auto"/>
        </w:rPr>
        <w:t>We believe the principal competitive factors impacting the market for our products are price, form factor, time-to-market, features and functionality, performance, quality and brand. To maintain and improve our competitive position, we must continue to develop new products and solutions, expand our customer base, grow our distribution network,and leverage our strategic relationships and investment in research and development.</w:t>
      </w:r>
    </w:p>
    <w:p>
      <w:pPr>
        <w:spacing w:after="0" w:line="9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8" w:lineRule="exact"/>
        <w:rPr>
          <w:sz w:val="20"/>
          <w:szCs w:val="20"/>
          <w:color w:val="auto"/>
        </w:rPr>
      </w:pPr>
    </w:p>
    <w:p>
      <w:pPr>
        <w:ind w:left="980" w:right="160" w:hanging="324"/>
        <w:spacing w:after="0" w:line="36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data modem and mobile hotspot providers, such as Huawei, ZTE, Sierra Wireless, PCD, LG Innotek, Samsung, Franklin Wireless and NetGear;</w:t>
      </w: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Cradlepoint, Telit Wireless Solutions, Gemalto, CalAmp and Huawei.</w:t>
      </w:r>
    </w:p>
    <w:p>
      <w:pPr>
        <w:spacing w:after="0" w:line="212" w:lineRule="exact"/>
        <w:rPr>
          <w:sz w:val="20"/>
          <w:szCs w:val="20"/>
          <w:color w:val="auto"/>
        </w:rPr>
      </w:pPr>
    </w:p>
    <w:p>
      <w:pPr>
        <w:ind w:right="200" w:firstLine="432"/>
        <w:spacing w:after="0" w:line="312" w:lineRule="auto"/>
        <w:rPr>
          <w:sz w:val="20"/>
          <w:szCs w:val="20"/>
          <w:color w:val="auto"/>
        </w:rPr>
      </w:pPr>
      <w:r>
        <w:rPr>
          <w:rFonts w:ascii="Arial" w:cs="Arial" w:eastAsia="Arial" w:hAnsi="Arial"/>
          <w:sz w:val="16"/>
          <w:szCs w:val="16"/>
          <w:color w:val="auto"/>
        </w:rPr>
        <w:t>We believe that we have advantages over each of our primary competitors due in varying measure to the technical and engineering design of our products, the broad range of customized solutions that we offer, the ease-of-use of our products, our ability to adapt our products to specific customer needs and our competitive pricing. As the market for wireless data solutions expands, other entrants may seek to compete with us either directly or indirectly.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80" w:firstLine="432"/>
        <w:spacing w:after="0" w:line="279" w:lineRule="auto"/>
        <w:rPr>
          <w:sz w:val="20"/>
          <w:szCs w:val="20"/>
          <w:color w:val="auto"/>
        </w:rPr>
      </w:pPr>
      <w:r>
        <w:rPr>
          <w:rFonts w:ascii="Arial" w:cs="Arial" w:eastAsia="Arial" w:hAnsi="Arial"/>
          <w:sz w:val="17"/>
          <w:szCs w:val="17"/>
          <w:color w:val="auto"/>
        </w:rPr>
        <w:t>As of December 31, 2014, we had 240 employees. By segment, Mobile Computing Products had 196 employees, including corporate functions and M2M Products and Solutions had 44 employees. By function, we had 127 employees in research and development, 48 in sales and marketing, 30 in operations and 35 in general and administrative functions. We also use the services of consultants and temporary workers from time to time. Our employees are not represented by any collective bargaining unit and we consider our relationship with our employees to be good.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 to SEC Filings</w:t>
      </w:r>
    </w:p>
    <w:p>
      <w:pPr>
        <w:spacing w:after="0" w:line="17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We maintain an Internet website at </w:t>
      </w:r>
      <w:r>
        <w:rPr>
          <w:rFonts w:ascii="Arial" w:cs="Arial" w:eastAsia="Arial" w:hAnsi="Arial"/>
          <w:sz w:val="18"/>
          <w:szCs w:val="18"/>
          <w:i w:val="1"/>
          <w:iCs w:val="1"/>
          <w:u w:val="single" w:color="auto"/>
          <w:color w:val="auto"/>
        </w:rPr>
        <w:t>www.novatelwireless.com</w:t>
      </w:r>
      <w:r>
        <w:rPr>
          <w:rFonts w:ascii="Arial" w:cs="Arial" w:eastAsia="Arial" w:hAnsi="Arial"/>
          <w:sz w:val="18"/>
          <w:szCs w:val="18"/>
          <w:color w:val="auto"/>
        </w:rPr>
        <w:t>. The information contained on our website or that can be accessed through our website does not constitute a part of this report. We make available, free of charge through our Internet website, our annual reports on Form 10-K, quarterly reports on Form 10-Q, current reports on Form 8-K and amendments to those reports filed or furnished pursuant to Section 13(a) or 15(d) of the Securities Exchange Act of 1934, as amended, or the Exchange Act, as soon as reasonably practicable after we electronically file or furnish this information to the Securities and Exchange Commission ("SEC").</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i w:val="1"/>
          <w:iCs w:val="1"/>
          <w:color w:val="auto"/>
        </w:rPr>
        <w:t>An investment in our common stock involves various risks. Before deciding to purchase, hold or sell our common stock, you should carefully consider the risks described below in addition to the other cautionary statements and risks described elsewhere in this report and in the documents incorporated by reference herein and therein. The risks and uncertainties described below are those that we currently deem to be material, and do not represent all of the risks that we face. Additional risks and uncertainties not presently known to us or that we currently do not consider material may in the future become material and impair our business operations.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You should also refer to the other information contained in this Form 10-K, including our consolidated financial statements and the related notes.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for wireless broadband data access products and services is rapidly evolving and highly competitive. We may be unable to compete effectively.</w:t>
      </w:r>
    </w:p>
    <w:p>
      <w:pPr>
        <w:spacing w:after="0" w:line="125" w:lineRule="exact"/>
        <w:rPr>
          <w:sz w:val="20"/>
          <w:szCs w:val="20"/>
          <w:color w:val="auto"/>
        </w:rPr>
      </w:pPr>
    </w:p>
    <w:p>
      <w:pPr>
        <w:jc w:val="both"/>
        <w:ind w:right="120" w:firstLine="432"/>
        <w:spacing w:after="0" w:line="297" w:lineRule="auto"/>
        <w:rPr>
          <w:sz w:val="20"/>
          <w:szCs w:val="20"/>
          <w:color w:val="auto"/>
        </w:rPr>
      </w:pPr>
      <w:r>
        <w:rPr>
          <w:rFonts w:ascii="Arial" w:cs="Arial" w:eastAsia="Arial" w:hAnsi="Arial"/>
          <w:sz w:val="16"/>
          <w:szCs w:val="16"/>
          <w:color w:val="auto"/>
        </w:rPr>
        <w:t>The market for wireless broadband data access products and services is rapidly evolving and highly competitive. We expect competition to continue to increase and intensify. Many of our competitors or potential competitors have significantly greater financial, technical, operational and marketing resources than we do. These competitors, for example, may be able to respond more rapidly or more effectively than we can to new or emerging technologies, changes in customer requirements, supplier related developments, or a shift in the business landscape. They also may devote greater or more effective resources than we do to the development, manufacture, promotion, sale, and post-sale support of their respective products and services.</w:t>
      </w:r>
    </w:p>
    <w:p>
      <w:pPr>
        <w:spacing w:after="0" w:line="104"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Many of our current and potential competitors have more extensive customer bases and broader customer, supplier and other industry relationships that they can leverage to establish competitive dealings with many of our current and potential customers. Some of these companies also have more established and larger customer support organizations than we do. In addition, these companies may adopt more aggressive pricing policies or offer more attractive terms to customers than they currently do, or than we are able to do. They may bundle their competitive products with broader product offerings and may introduce new products and enhancements. Current and potential competitors might merge or otherwise establish cooperative relationships among themselves or with third parties to enhance their products or market position. In addition, at any time any given customer or supplier of ours could elect to enter our then existing line of business and thereafter compete with us, whether directly or indirectly. As a result, it is possible that new competitors or new or otherwise enhanced relationships among existing competitors may emerge and rapidly acquire significant market share to the detriment of our business.</w:t>
      </w:r>
    </w:p>
    <w:p>
      <w:pPr>
        <w:spacing w:after="0" w:line="1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Our products compete with a variety of devices, including other wireless modems and mobile hotspots, wireless handsets, wireless handheld computing devices and M2M wireless solutions. Our current competitors include:</w:t>
      </w:r>
    </w:p>
    <w:p>
      <w:pPr>
        <w:spacing w:after="0" w:line="8" w:lineRule="exact"/>
        <w:rPr>
          <w:sz w:val="20"/>
          <w:szCs w:val="20"/>
          <w:color w:val="auto"/>
        </w:rPr>
      </w:pPr>
    </w:p>
    <w:p>
      <w:pPr>
        <w:ind w:left="980" w:right="160" w:hanging="324"/>
        <w:spacing w:after="0" w:line="360"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data modem and mobile hotspot providers, such as Huawei, ZTE, Sierra Wireless, PCD, LG Innotek, Samsung, Franklin Wireless and NetGear;</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handset manufacturers, such as HTC, Apple, Motorola, Nokia and Samsung;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wireless M2M solution providers, such as Sierra Wireless, Cradlepoint, Telit Wireless Solutions, Gemalto, CalAmp and Huawei.</w:t>
      </w:r>
    </w:p>
    <w:p>
      <w:pPr>
        <w:spacing w:after="0" w:line="212"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We expect our competitors to continue to improve the features and performance of their current products and to introduce new products, services and technologies which, if successful, could reduce our sales and the market acceptance of our products, generate increased price competition and make our products obsolete. For our products to remain competitive, we must, among other things, continue to invest significant resources (financial, human and otherwise) in, among other things, research and development, sales and marketing, and customer support. We cannot be sure that we will have or will continue to have sufficient resources to make these investments or that we will be able to make the technological advances necessary for our products to remain competitive. Increased competition could result in price reductions, fewer or smaller customer orders, reduced product margins and loss of our market share. Our failure to compete successfully could seriously harm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develop and timely introduce new products successfully, we may lose key customers or product orders and our business could be harmed.</w:t>
      </w:r>
    </w:p>
    <w:p>
      <w:pPr>
        <w:spacing w:after="0" w:line="12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The development of new wireless data products requires technological innovation that can be difficult, lengthy and costly. In addition, wireless operators require that wireless data systems deployed on their networks comply with their own technical and product performance standards, which may differ from the standards our products are required to meet for other operators. This increases the complexity and might impact the timing of the product development and customer approval process. In addition, as we introduce new products or new versions of our existing products, our current customers may not require or</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desire the technological innovations of these products and may not purchase them or might purchase them in smaller quantities than we had expected.</w:t>
      </w:r>
    </w:p>
    <w:p>
      <w:pPr>
        <w:spacing w:after="0" w:line="102"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as part of our business, we may enter into contracts with some customers in which we would agree to develop products that we would sell to such customers. Our ability to generate future revenue and operating income under any such contracts would depend upon, among other factors, our ability to timely and profitably develop products that are suitable for manufacturing in a cost effective manner and that meet defined product design, technical and performance specifications.</w:t>
      </w:r>
    </w:p>
    <w:p>
      <w:pPr>
        <w:spacing w:after="0" w:line="52"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If we are unable to successfully manage these risks or meet required delivery specifications or deadlines in connection with one or more of our key contracts, we may lose key customers or orders and our business could be harmed.</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expect to continue to depend upon only a small number of our customers for a substantial portion of our revenues. Our business could be negatively affected by an adverse change in our dealings with these customers.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significant portion of our net revenues come from only a few customers. For instance, sales to Verizon Wireless accounted for 52% of our revenue in</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2014 and 58% of our revenue in 2013. Our revenue could be materially adversely affected if we are unable to maintain currently-existing levels of business with any of our significant customers, including Verizon Wireless, and if we are unable to offset this loss fully from alternative customers. We expect that a small number of customers will continue to account for a substantial portion of our revenue for the foreseeable future and any impairment of our relationship with, or the material financial impairment of, these customers could adversely affect our business.</w:t>
      </w:r>
    </w:p>
    <w:p>
      <w:pPr>
        <w:spacing w:after="0" w:line="4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addition, a majority of our current customers purchase our products pursuant to contracts that do not require them to purchase any specific minimum quantity of units other than the number of units ordered on an individual purchase order that might be issued to us from time to time. These customers have no contractual obligation to continue to purchase our products and if they do not continue to make purchases consistent with their historical purchase levels, our net revenue would decline if we are unable to increase sales from other existing or new customers.</w:t>
      </w:r>
    </w:p>
    <w:p>
      <w:pPr>
        <w:spacing w:after="0" w:line="36"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In light of the limited number of leading wireless operators and OEMs that form our primary customer base, many of whom are already customers, it would be difficult to replace revenue resulting from the loss of any significant existing customer or from a material reduction in the volume of business we conduct with any significant existing customer. Consolidation among our customers may further concentrate our business to a more limited number of customers and expose us to increased risks relating to dependence on a limited number of customers; such dependence could adversely affect our operating results.</w:t>
      </w:r>
    </w:p>
    <w:p>
      <w:pPr>
        <w:spacing w:after="0" w:line="53"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We have had to qualify, and are required to maintain, our status as a supplier for each of our customers. This is a lengthy process that involves the inspection and approval by each customer of our engineering, documentation, manufacturing and quality control procedures before that customer will place volume orders. Attempts to lessen the adverse effect of any loss of, or any material reduction in the volume of business we conduct with, any significant existing customer through the rapid addition of one or more new customers would be difficult because of these qualification requirements. Consequently, our business and operating results could be adversely affected by the loss of, or any material reduction in the volume of business we conduct with, any existing significant customer.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we make could disrupt our business and harm our financial condition and results of operations.</w:t>
      </w:r>
    </w:p>
    <w:p>
      <w:pPr>
        <w:spacing w:after="0" w:line="9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Based on these opportunities, we may acquire additional businesses, assets, or technologies in the future. If we make any acquisitions, we could take any or all of the following actions, any one of which could adversely affect our business, financial condition, results of operations or share price:</w:t>
      </w:r>
    </w:p>
    <w:p>
      <w:pPr>
        <w:spacing w:after="0" w:line="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a substantial portion of our available cash;</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substantial debt, which may not be available to us on favorable terms and may adversely affect our liquidity;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equity or equity-based securities that would dilute existing stockholders’ percentage ownership;</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assume contingent liabilities;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take substantial charges in connection with acquired assets.</w:t>
      </w:r>
    </w:p>
    <w:p>
      <w:pPr>
        <w:spacing w:after="0" w:line="131"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Acquired businesses may have liabilities or adverse operating issues that we fail to discover through due diligence prior to the acquisition. In particular, to the extent that prior owners of any acquired businesses or properties failed to comply with or otherwise violated applicable laws or regulations, or failed to fulfill their contractual obligations to customers, we, as the successor owner, may be financially responsible for these violations and failures and may suffer reputational harm or otherwise be adversely affected. Acquisitions also frequently result in the recording of goodwill and other intangible assets which are subject to potential impairment in the future that could harm our financial results. In addition, if we finance acquisitions by issuing convertible debt or equity securities, our existing stockholders may be diluted, which could affect the market price of</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125" w:right="2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stock. Acquisitions and/or the related equity financings could also impact our ability to utilize our net operating loss carryforwards.</w:t>
      </w:r>
    </w:p>
    <w:p>
      <w:pPr>
        <w:spacing w:after="0" w:line="90"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Numerous other risks of engaging in acquisitions include: difficulties in assimilating acquired operations, products, technologies and personnel; unanticipated costs; diversion of management’s attention from existing operations; adverse effects on existing business relationships with suppliers and customers; risks of entering markets in which we have limited or no prior experience; and potential loss of key employees from either our existing business or the acquired organization. Acquisitions may result in substantial accounting charges for restructuring and other expenses, amortization of purchased technology and intangible assets and stock-based compensation expense, any of which could materially adversely affect our operating results. . As a result, if we fail to properly evaluate acquisitions or investments, we may not achieve the anticipated benefits of any such acquisitions, and we may incur costs in excess of what we anticipate. Even if we do properly evaluate acquisitions or investments, we may not be able to realize the anticipated benefits of, or successfully integrate with our existing business, the businesses, products, technologies or personnel that we acquire, and our failure to do so could harm our business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and maintain strategic relationships, we may not be able to penetrate new markets.</w:t>
      </w:r>
    </w:p>
    <w:p>
      <w:pPr>
        <w:spacing w:after="0" w:line="90" w:lineRule="exact"/>
        <w:rPr>
          <w:sz w:val="20"/>
          <w:szCs w:val="20"/>
          <w:color w:val="auto"/>
        </w:rPr>
      </w:pPr>
    </w:p>
    <w:p>
      <w:pPr>
        <w:ind w:right="220" w:firstLine="432"/>
        <w:spacing w:after="0" w:line="273" w:lineRule="auto"/>
        <w:rPr>
          <w:sz w:val="20"/>
          <w:szCs w:val="20"/>
          <w:color w:val="auto"/>
        </w:rPr>
      </w:pPr>
      <w:r>
        <w:rPr>
          <w:rFonts w:ascii="Arial" w:cs="Arial" w:eastAsia="Arial" w:hAnsi="Arial"/>
          <w:sz w:val="17"/>
          <w:szCs w:val="17"/>
          <w:color w:val="auto"/>
        </w:rPr>
        <w:t>A key element of our business strategy is to penetrate new markets by developing new products through strategic relationships with industry participants in wireless communications. We are currently investing, and plan to continue to invest, significant resources to develop these relationships. We believe that our success in penetrating new markets for our products will depend, in part, on our ability to develop and maintain these relationships and to cultivate additional or alternative relationships. There can be no assurance, however, that we will be able to develop additional strategic relationships, that existing relationships will survive and successfully achieve their purposes or that the companies with whom we have strategic relationships will not form competing arrangements with others or determine to compete unilaterally with us.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properly manage the development of our business, we may experience significant strains on our management and operations and disruptions in our business.</w:t>
      </w:r>
    </w:p>
    <w:p>
      <w:pPr>
        <w:spacing w:after="0" w:line="3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Various risks arise if companies and industries quickly evolve. If our business or industry develops more quickly than our ability to respond, our ability to meet customer demand in a timely and efficient manner could be challenged. We may also experience development, certification or production delays as we seek to meet demand for our products or unanticipated product requirements. Our failure to properly manage the developments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1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currently rely on third parties to manufacture and warehouse our products, which exposes us to a number of risks and uncertainties outside our control.</w:t>
      </w:r>
    </w:p>
    <w:p>
      <w:pPr>
        <w:spacing w:after="0" w:line="35"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We currently outsource our manufacturing to companies including: Inventec Appliances Corporation, Hon Hai Precision Industry Co., Ltd. and Benchmark Electronics. These contract manufacturers have operations in China and Thailand and, in 2011, severe flooding in Thailand caused damage to infrastructure and factories and affected our supply of products from our contract manufacturer located in Thailand, which constrained our revenue in 2011</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If one of these third-party manufacturers were to experience delays, disruptions, capacity constraints or quality control problems in its manufacturing operations, product shipments to our customers could be delayed or rejected or our customers could consequently elect to cancel the underlying product purchase order. These disruptions would negatively impact our revenues, competitive position and reputation. Further, if we are unable to manage successfully our relationship with a manufacturer, the quality and availability of our products may be harmed. None of our third-party manufacturers is obligated to supply us with a specific quantity of products, except as may be provided in a particular purchase order that we have submitted to, and that has been accepted by, such third-party manufacturer. Our third-party manufacturers could, under some circumstances, decline to accept new purchase orders from us or otherwise reduce their business with us. If a manufacturer stopped manufacturing our products for any reason or reduced manufacturing capacity, we may be unable to replace the lost manufacturing capacity on a timely and comparatively cost effective basis, which would adversely impact our operations. In addition, we generally do not enter into long-term contracts with our manufacturers. As a result, we are subject to price increases due to availability, and subsequent price volatility, in the marketplace of the components and materials needed to manufacture our products. If a third-party manufacturer were to negatively change the product pricing and other terms under which it agrees to manufacture for us and we were unable to locate a suitable alternative manufacturer, our manufacturing costs could significantly increase.</w:t>
      </w:r>
    </w:p>
    <w:p>
      <w:pPr>
        <w:spacing w:after="0" w:line="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Because we outsource the manufacturing of all of our products, the cost, quality and availability of third-party manufacturing operations is essential to the successful production and sale of our products. Our reliance on third-party manufacturers exposes us to a number of risks which are outside our control, including:</w:t>
      </w:r>
    </w:p>
    <w:p>
      <w:pPr>
        <w:spacing w:after="0" w:line="1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increases in manufacturing costs;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in shipments if a third-party manufacturer is unable to complete production in a timely manner;</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quality of finished products;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delivery schedules;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production levels and to meet minimum volume commitments to our customers;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control manufacturing yield;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maintain adequate manufacturing capacity;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secure adequate volumes of acceptable components at suitable prices or in a timely manner.</w:t>
      </w:r>
    </w:p>
    <w:p>
      <w:pPr>
        <w:spacing w:after="0" w:line="158" w:lineRule="exact"/>
        <w:rPr>
          <w:sz w:val="20"/>
          <w:szCs w:val="20"/>
          <w:color w:val="auto"/>
        </w:rPr>
      </w:pPr>
    </w:p>
    <w:p>
      <w:pPr>
        <w:ind w:right="80" w:firstLine="405"/>
        <w:spacing w:after="0" w:line="276" w:lineRule="auto"/>
        <w:rPr>
          <w:sz w:val="20"/>
          <w:szCs w:val="20"/>
          <w:color w:val="auto"/>
        </w:rPr>
      </w:pPr>
      <w:r>
        <w:rPr>
          <w:rFonts w:ascii="Arial" w:cs="Arial" w:eastAsia="Arial" w:hAnsi="Arial"/>
          <w:sz w:val="17"/>
          <w:szCs w:val="17"/>
          <w:color w:val="auto"/>
        </w:rPr>
        <w:t>Although we promote ethical business practices and our operations personnel periodically visit and monitor the operations of our manufacturers, we do not control the manufacturers or their labor practices. If our current manufacturers, or any other third-party manufacturer which we may use in the future, violate United States or foreign laws or regulations, we may be subjected to extra duties, significant monetary penalties, adverse publicity, the seizure and forfeiture of products that we are attempting to import or the loss of our import privileges. The effects of these factors could render the conduct of our business in a particular country undesirable or impractical and have a negative impact on our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forecast customer demand incorrectly and order the manufacture of excess or insufficient quantities of particular products.</w:t>
      </w:r>
    </w:p>
    <w:p>
      <w:pPr>
        <w:spacing w:after="0" w:line="102"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have historically placed purchase orders with our manufacturers at least three months prior to the scheduled delivery of the corresponding finished goods to our customer. In some instances, due to the length of component lead times, we might need to place manufacturing orders with our contract manufacturers solely on the basis of our receipt of a good-faith, but non-binding, customer forecast of the quantity and timing of the customer’s expected purchases from us. Accordingly, if the actual number and timing of delivery of units that a customer orders from us on the subsequently issued purchase order differs materially from the number of units we contractually ordered our manufacturer to procure component parts for, we might be unable to obtain adequate quantities of components in time to meet our customers’ binding delivery requirements or, alternatively, we might accumulate excess inventory that we are unable to timely use or resell, if at all. Our operating results and financial condition have in the past been, and may in the future be, materially adversely affected by our ability to manage our current or finished goods inventory levels, and respond to short-term or unexpected shifts in customer demand as to quantities or our customer’s product delivery schedule.</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depend on sole source suppliers for some components used in our products. The availability and sale of those finished products would be harmed if any of these suppliers is not able to meet our demand and production schedule and alternative suitable components are not available on acceptable terms, if at all.</w:t>
      </w:r>
    </w:p>
    <w:p>
      <w:pPr>
        <w:spacing w:after="0" w:line="46"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products contain a variety of components, some of which are procured from single suppliers. These components include both tooled parts and industry-standard parts, some of which are also used in cellular telephone handsets. From time to time, certain components used in our products have been in short supply worldwide or their anticipated commercial introduction has been delayed or their availability has been subsequently interrupted for reasons outside our control. For example, some of our product components are manufactured in Japan, which experienced a significant earthquake in 2011. Although our suppliers’ facilities were undamaged, some manufacturers experienced temporary suspension of production due to power outages. If there is a shortage or interruption in the availability to us of any such components and we cannot timely obtain a commercially and technologically suitable substitute or make sufficient and timely design or other product modifications to permit the use of such a substitute component, we may not be able to timely deliver sufficient quantities of our products to satisfy our contractual obligations and particular revenue expectations. Moreover, even if we timely locate a substitute part (or locate the originally specified component from a parts broker) but its price materially exceeds the original cost of the component, then our results of operations would be adversely affected.</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failure to predict carrier and end user customer preferences among the many evolving wireless industry standards could hurt our ability to introduce and sell new products.</w:t>
      </w:r>
    </w:p>
    <w:p>
      <w:pPr>
        <w:spacing w:after="0" w:line="35"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our industry, it is critical to our success that we accurately anticipate evolving wireless technology standards and that our products comply with these standards in relevant respects. We are currently focused on engineering and manufacturing products that comply with several different wireless standards. Any failure of our products to comply with any one of these or future applicable standards could prevent or delay their introduction and require costly and time-consuming engineering changes. Additionally, if an insufficient number of wireless operators or subscribers adopt the standards to which we engineer our products, then sales of our new products designed to those standards could be materially harmed.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125"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Weakness or deterioration in global economic conditions could have a material adverse effect on our results of operations and financial condition.</w:t>
      </w:r>
    </w:p>
    <w:p>
      <w:pPr>
        <w:spacing w:after="0" w:line="113"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As a result of weak or deteriorating economic conditions globally, we could experience lower demand for our products, which could adversely impact our results of operations.</w:t>
      </w:r>
    </w:p>
    <w:p>
      <w:pPr>
        <w:spacing w:after="0" w:line="35"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Additionally, there could be a number of related effects on our business resulting from weak economic conditions, including the insolvency of one or more of our parts suppliers resulting in product launch or product delivery delays, customer insolvencies resulting in that customer’s inability to order products from us or pay for already delivered product, an inability on the part of our customers to obtain credit to finance purchases of our products and reduced demand by the ultimate end-users of our products.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Although we continue to monitor market conditions, we cannot predict future market conditions or their impact on demand for our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of our products depends on the demand for broadband wireless access to enterprise networks and the internet.</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markets for broadband wireless access solutions are rapidly evolving, both technologically and competitively, and the successful sale of related products and services depends in part on the strength of the demand for wireless access to both enterprise networks and the Internet. At times, market demand for both wireless products and wireless access services for the transmission of data developed at a slower rate than we had anticipated and as a result our product sales did not generate sufficient revenue to cover our corresponding operating costs. The failure of these markets to continue to grow at the rate that we currently anticipate may adversely impact the growth in the demand for our products and, subsequently, our overall rate of growth and as a result, our business, financial condition and results of operations may be harmed.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marketability of our products may suffer if wireless telecommunications operators do not deliver acceptable wireless services.</w:t>
      </w:r>
    </w:p>
    <w:p>
      <w:pPr>
        <w:spacing w:after="0" w:line="90"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success of our business depends, in part, on the capacity, affordability, reliability and prevalence of wireless data networks provided by wireless telecommunications operators and on which our products operate. Currently, various wireless telecommunications operators, either individually or jointly with us, sell our products in connection with the sale of their wireless data services to their customers. Growth in demand for wireless data access may be limited if, for example, wireless telecommunications operators cease or materially curtail operations, fail to offer services that customers consider valuable at acceptable prices, fail to maintain sufficient capacity to meet demand for wireless data access, delay the expansion of their wireless networks and services, fail to offer and maintain reliable wireless network services or fail to market their services effectively.</w:t>
      </w:r>
    </w:p>
    <w:p>
      <w:pPr>
        <w:spacing w:after="0" w:line="4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color w:val="auto"/>
        </w:rPr>
        <w:t>In addition, our future growth depends on the successful deployment of next generation wireless data networks provided by third parties, including those networks for which we are currently developing products. If these next generation networks are not deployed or widely accepted, or if deployment is delayed, there will be no market for the products we are developing to operate on these networks. If any of these events occurs, or if for any other reason the demand for wireless data access fails to grow, sales of our products will decline or remain stagnant and our business could be harmed.</w:t>
      </w:r>
    </w:p>
    <w:p>
      <w:pPr>
        <w:spacing w:after="0" w:line="10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Third parties may claim that our products, or components within our products, infringe on their intellectual property rights. These claims may result in substantial costs, diversion of resources and management attention, harm to our reputation or interference with our current or prospective customer or supplier relations.</w:t>
      </w:r>
    </w:p>
    <w:p>
      <w:pPr>
        <w:spacing w:after="0" w:line="46"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Third parties have in the past claimed, and may in the future claim, that we, or our customers or suppliers, have violated their intellectual property rights. Defending an infringement or misappropriation claim, for example, regardless of the merits or success of the claim, could result in our incurring substantial legal and other costs. These claims could also divert our engineering and other human resources and management attention and cause harm to our reputation. These claims can be difficult and costly to assess and defend. A successful infringement claim related to our products could result in, among other things, our becoming liable for damages and litigation costs or unexpected and costly engineering changes to affected products.</w:t>
      </w:r>
    </w:p>
    <w:p>
      <w:pPr>
        <w:spacing w:after="0" w:line="37"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addition, any finding that our products infringe (or in some instances, our customer’s reasonable conclusion that a bona fide infringement claim is likely to be made with respect to such products) could have other negative consequences. Those consequences could include prohibiting us from further use of the intellectual property, causing us to have to modify our product design, if possible, so it does not infringe, or causing us to have to license the intellectual property at issue, incurring licensing fees, some of which could be retroactive. Upon a finding of infringement, we or one of our suppliers may also have to develop a non-infringing alternative, which, if available, could be costly and delay or prevent sales of affected products.</w:t>
      </w:r>
    </w:p>
    <w:p>
      <w:pPr>
        <w:spacing w:after="0" w:line="3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A number of putative patent infringement claims have been filed by various plaintiffs in a number of U.S. District Courts against us and/or numerous third parties, some of whom are our customers. These cases generally allege that the defendants’ use, sale and importation of specified products and/or processes constitutes infringement of certain U.S. patents allegedly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owned or exclusively licensed by each plaintiff. Under certain circumstances, we may have an obligation to indemnify and/or defend our customers against these lawsuits.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depends on our continued ability to license necessary third-party technology, which we may not be able to do on commercially competitive terms, if at all.</w:t>
      </w:r>
    </w:p>
    <w:p>
      <w:pPr>
        <w:spacing w:after="0" w:line="3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license technology from third parties for the development of our products. We have licensed from third parties, such as QUALCOMM, software, patents and other intellectual property for use in our products and from time to time we may elect or be required to license additional intellectual property. There can be no assurance that we will be able to maintain our third-party licenses or that these licenses or the technologies that are the subject of these licenses will not be the subject of dispute or litigation, or that additional third-party licenses will be available to us on commercially reasonable terms, if at all. The inability to maintain or obtain third-party licenses required for our products or to develop new products and product enhancements could require us to seek to obtain substitute technology of lower quality or performance standards, if such exists, or at greater cost, which could seriously harm our competitive position, revenue and prospects.</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products, including our proprietary or third party software contained in our products, may contain errors or defects, which could prevent or decrease their market acceptance and lead to unanticipated costs or other adverse business consequences.</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Our products are technologically complex and must meet stringent industry, regulatory and customer requirements. We must develop our hardware and software products quickly to keep pace with the rapidly changing and technologically advanced wireless communications market. Products as sophisticated as ours may contain undetected errors or defects, especially when first introduced or when new models or versions are released. Our products may not be free from errors or defects at the time commercial shipments have begun, which could result in the rejection of our products, the loss of an existing or potential customer or the failure to obtain one, damage to our reputation, lost revenue, diverted development resources, increased customer service and support costs, unanticipated warranty claims, and the payment of monetary damages to our customers. Furthermore, correcting problems could require additional capital expenditures, result in increased design and development costs, and force us to divert resources from other efforts. Failure to remediate problems could result in lost revenue, harm our reputation, and lead to costly warranty or other legal claims against us by our customers, and could have a material adverse impact on our financial condition and operating results.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product replacement, or recall costs could adversely affect our business and financial performance.</w:t>
      </w:r>
    </w:p>
    <w:p>
      <w:pPr>
        <w:spacing w:after="0" w:line="90"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We maintain product liability insurance, but this insurance may not adequately cover losses related to product liability claims brought against us. We may also be a defendant in class action litigation, for which no insurance is available. Product liability insurance could become more expensive and difficult to maintain and may not be available on commercially reasonable terms, if at all. In addition, we do not maintain any product recall insurance, so any product recall we are required to initiate could have a significant impact on our financial position, results of operations or cash flows. We regularly investigate potential quality issues as part of our ongoing effort to deliver quality products to our customers.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significantly from quarter to quarter and may cause our stock price to fluctuate.</w:t>
      </w:r>
    </w:p>
    <w:p>
      <w:pPr>
        <w:spacing w:after="0" w:line="9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Our future quarterly operating results may fluctuate significantly and may fall short of or exceed the expectations of securities analysts, investors or management. If this occurs, the market price of our stock could fluctuate, in some cases materially. The following factors may cause fluctuations in our operating results:</w:t>
      </w:r>
    </w:p>
    <w:p>
      <w:pPr>
        <w:spacing w:after="0" w:line="73" w:lineRule="exact"/>
        <w:rPr>
          <w:sz w:val="20"/>
          <w:szCs w:val="20"/>
          <w:color w:val="auto"/>
        </w:rPr>
      </w:pPr>
    </w:p>
    <w:p>
      <w:pPr>
        <w:ind w:left="980" w:right="4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Decreases in revenue or increases in operating expenses</w:t>
      </w:r>
      <w:r>
        <w:rPr>
          <w:rFonts w:ascii="Arial" w:cs="Arial" w:eastAsia="Arial" w:hAnsi="Arial"/>
          <w:sz w:val="18"/>
          <w:szCs w:val="18"/>
          <w:color w:val="auto"/>
        </w:rPr>
        <w:t>. We budget our operating expenses based on anticipated sales, and a significant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of our sales and marketing, research and development and general and administrative costs are fixed, at least in the short term. If revenue decreases, due to pricing pressures or otherwise, or does not increase as planned and we are unable to reduce our operating costs quickly and sufficiently, our operating results could be materially adversely affected.</w:t>
      </w:r>
    </w:p>
    <w:p>
      <w:pPr>
        <w:spacing w:after="0" w:line="132" w:lineRule="exact"/>
        <w:rPr>
          <w:rFonts w:ascii="Arial" w:cs="Arial" w:eastAsia="Arial" w:hAnsi="Arial"/>
          <w:sz w:val="18"/>
          <w:szCs w:val="18"/>
          <w:color w:val="auto"/>
        </w:rPr>
      </w:pPr>
    </w:p>
    <w:p>
      <w:pPr>
        <w:ind w:left="980" w:right="6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Product mix. </w:t>
      </w:r>
      <w:r>
        <w:rPr>
          <w:rFonts w:ascii="Arial" w:cs="Arial" w:eastAsia="Arial" w:hAnsi="Arial"/>
          <w:sz w:val="18"/>
          <w:szCs w:val="18"/>
          <w:color w:val="auto"/>
        </w:rPr>
        <w:t>The product mix of our sales affects profit margins in any given quarter. As our business evolves and the revenue from the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mix of our sales varies from quarter to quarter, our operating results will likely fluctuate in ways that might not be directly proportionate to the fluctuation in revenue.</w:t>
      </w:r>
    </w:p>
    <w:p>
      <w:pPr>
        <w:spacing w:after="0" w:line="127"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New product introductions. </w:t>
      </w:r>
      <w:r>
        <w:rPr>
          <w:rFonts w:ascii="Arial" w:cs="Arial" w:eastAsia="Arial" w:hAnsi="Arial"/>
          <w:sz w:val="18"/>
          <w:szCs w:val="18"/>
          <w:color w:val="auto"/>
        </w:rPr>
        <w:t>As we introduce new products, the timing of these introductions within any given quarter will affect our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results. We may have difficulty predicting the timing of new product introductions and the market acceptance of these new products. If products and services are introduced earlier 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later than anticipated, or if market acceptance is unexpectedly high or low, our quarterly operating results may fluctuate unexpectedly.</w:t>
      </w:r>
    </w:p>
    <w:p>
      <w:pPr>
        <w:spacing w:after="0" w:line="196" w:lineRule="exact"/>
        <w:rPr>
          <w:sz w:val="20"/>
          <w:szCs w:val="20"/>
          <w:color w:val="auto"/>
        </w:rPr>
      </w:pPr>
    </w:p>
    <w:p>
      <w:pPr>
        <w:ind w:left="980" w:right="120" w:hanging="324"/>
        <w:spacing w:after="0" w:line="273"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Lengthy sales cycle. </w:t>
      </w:r>
      <w:r>
        <w:rPr>
          <w:rFonts w:ascii="Arial" w:cs="Arial" w:eastAsia="Arial" w:hAnsi="Arial"/>
          <w:sz w:val="17"/>
          <w:szCs w:val="17"/>
          <w:color w:val="auto"/>
        </w:rPr>
        <w:t>The length of time between the date of initial contact with a potential customer and the execution of and product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under a contract may take several months or longer, and is subject to delays or interruptions over which we have little or no control. The sale of our products is subject to delays from, among other things, our customers’ budgeting, product testing and vendor approval mechanics, and competitive evaluation processes that typically accompany significant information technology purchasing decisions. As a result, our ability to anticipate the timing and volume of sales to specific customers is limited, and the delay or failure to complete one or more large transactions could cause our operating results to vary significantly from quarter to quarter.</w:t>
      </w:r>
    </w:p>
    <w:p>
      <w:pPr>
        <w:spacing w:after="0" w:line="124" w:lineRule="exact"/>
        <w:rPr>
          <w:rFonts w:ascii="Arial" w:cs="Arial" w:eastAsia="Arial" w:hAnsi="Arial"/>
          <w:sz w:val="17"/>
          <w:szCs w:val="17"/>
          <w:color w:val="auto"/>
        </w:rPr>
      </w:pPr>
    </w:p>
    <w:p>
      <w:pPr>
        <w:ind w:left="980" w:right="44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Foreign currency</w:t>
      </w:r>
      <w:r>
        <w:rPr>
          <w:rFonts w:ascii="Arial" w:cs="Arial" w:eastAsia="Arial" w:hAnsi="Arial"/>
          <w:sz w:val="18"/>
          <w:szCs w:val="18"/>
          <w:color w:val="auto"/>
        </w:rPr>
        <w:t>. We are exposed to market risk from changes in foreign currency exchange rates. Our attempts to minimize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in foreign currencies on cash flows may not be successful.</w:t>
      </w:r>
    </w:p>
    <w:p>
      <w:pPr>
        <w:spacing w:after="0" w:line="116"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Due to these and other factors, our results of operations may fluctuate substantially in the future and quarter-to-quarter comparisons may not be reliable indicators of future operating or share price performance.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addition to our manufacturing activities in Asia, we have staff located in Canada, China and Europe. We also sell our products outside the U.S. These international business activities expose the Company to additional business risks, including:</w:t>
      </w:r>
    </w:p>
    <w:p>
      <w:pPr>
        <w:spacing w:after="0" w:line="116"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managing sales, research and development operations and post-sales logistics and support across these continents;</w:t>
      </w:r>
    </w:p>
    <w:p>
      <w:pPr>
        <w:spacing w:after="0" w:line="117"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and changes in diplomatic and trade relationships;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less effective protection of intellectual property and general exposure to different legal processes, standards and expectations;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 protection measures and import or export licensing requirements;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potentially negative consequences from changes in tax laws;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expenses associated with customizing products for different countries;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unexpected changes in regulatory requirements resulting in unanticipated costs and delays;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collection cycles and difficulties in collecting accounts receivable;</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terrorism;</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loss or damage to products in transit;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international dock strikes or other transportation delays; and</w:t>
      </w:r>
    </w:p>
    <w:p>
      <w:pPr>
        <w:spacing w:after="0" w:line="130"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court-ordered injunctions in a given jurisdiction in connection with alleged intellectual property rights infringement by our products or components contained within our products which might prohibit the importation, sale or offer for sale of our products in the jurisdiction subject to such injunction.</w:t>
      </w:r>
    </w:p>
    <w:p>
      <w:pPr>
        <w:spacing w:after="0" w:line="2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Any disruption in our ability to obtain products from our foreign manufacturers or in our ability to conduct international operations and sales could have a material adverse effect on our business, financial condition and results of operations.</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international business activities expose the Company to fluctuations in exchange rates between the United States dollar and foreign currencies which may affect our operating results.</w:t>
      </w:r>
    </w:p>
    <w:p>
      <w:pPr>
        <w:spacing w:after="0" w:line="35" w:lineRule="exact"/>
        <w:rPr>
          <w:sz w:val="20"/>
          <w:szCs w:val="20"/>
          <w:color w:val="auto"/>
        </w:rPr>
      </w:pPr>
    </w:p>
    <w:p>
      <w:pPr>
        <w:ind w:right="380" w:firstLine="432"/>
        <w:spacing w:after="0" w:line="291" w:lineRule="auto"/>
        <w:rPr>
          <w:sz w:val="20"/>
          <w:szCs w:val="20"/>
          <w:color w:val="auto"/>
        </w:rPr>
      </w:pPr>
      <w:r>
        <w:rPr>
          <w:rFonts w:ascii="Arial" w:cs="Arial" w:eastAsia="Arial" w:hAnsi="Arial"/>
          <w:sz w:val="16"/>
          <w:szCs w:val="16"/>
          <w:color w:val="auto"/>
        </w:rPr>
        <w:t>A portion of our revenues are generated from sales agreements denominated in foreign currencies, and we expect to enter into additional such agreements as we expand our international customer base. As a result, we are exposed to changes in foreign currency exchange rates. At times, we may attempt to manage this risk, in part, by minimizing the effects of volatility on cash flows by identifying forecasted transactions exposed to these risks and using foreign exchange forward contracts. Since there is a high correlation between the hedging instruments and the underlying exposures, the gains and losses on these underlying exposures are generally offset by reciprocal changes in the value of the hedging instruments. We may use derivative financial instruments as risk management tools and not for trading or speculative purposes. Nevertheless, there can be no assurance that we will not incur foreign currency losses or that foreign exchange forward contracts we may enter into to reduce the risk of such losses will be successful.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manage additional qualified personnel.</w:t>
      </w:r>
    </w:p>
    <w:p>
      <w:pPr>
        <w:spacing w:after="0" w:line="90"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Our success in the future depends in part on the continued contribution of our executive, technical, engineering, sales, marketing, operations and administrative personnel. Recruiting and retaining skilled personnel in the wireless communications industry, including software and hardware engineers, is highly competitive. The success of any acquisition also depends in part on our retention and integration of key personnel from the acquired company or business.</w:t>
      </w:r>
    </w:p>
    <w:p>
      <w:pPr>
        <w:spacing w:after="0" w:line="133"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Although we may enter into employment agreements with members of our senior management and other key personnel, these arrangements do not prevent any of our management or key personnel from leaving the company. If we are not able to attract or retain qualified personnel in the future, or if we experience delays in hiring required personnel, particularly qualified engineers, we may not be able to maintain and expand our business.</w:t>
      </w:r>
    </w:p>
    <w:p>
      <w:pPr>
        <w:spacing w:after="0" w:line="1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System security risks, data protection breaches, cyber-attacks and systems integration issues could disrupt our internal operations or information technology services provided to customers, and any such disruption could reduce our expected revenue, increase our expenses, damage our reputation and adversely affect our stock price.</w:t>
      </w:r>
    </w:p>
    <w:p>
      <w:pPr>
        <w:spacing w:after="0" w:line="46"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software and applications that we produce or procure from third parties may contain defects in design or manufacture, including “bugs” and other problems that could unexpectedly interfere with the operation of our or our customers’ systems.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w:t>
      </w:r>
    </w:p>
    <w:p>
      <w:pPr>
        <w:spacing w:after="0" w:line="44" w:lineRule="exact"/>
        <w:rPr>
          <w:sz w:val="20"/>
          <w:szCs w:val="20"/>
          <w:color w:val="auto"/>
        </w:rPr>
      </w:pPr>
    </w:p>
    <w:p>
      <w:pPr>
        <w:ind w:right="100" w:firstLine="432"/>
        <w:spacing w:after="0" w:line="297" w:lineRule="auto"/>
        <w:rPr>
          <w:sz w:val="20"/>
          <w:szCs w:val="20"/>
          <w:color w:val="auto"/>
        </w:rPr>
      </w:pPr>
      <w:r>
        <w:rPr>
          <w:rFonts w:ascii="Arial" w:cs="Arial" w:eastAsia="Arial" w:hAnsi="Arial"/>
          <w:sz w:val="16"/>
          <w:szCs w:val="16"/>
          <w:color w:val="auto"/>
        </w:rPr>
        <w:t>We manage and store various proprietary information and sensitive or confidential data relating to our business. Breaches of our security measures or the accidental loss, inadvertent disclosure or unapproved dissemination of proprietary information or sensitive or confidential data about us or our clients, including the potential loss or disclosure of such information or data as a result of fraud, trickery or other forms of deception, could expose us or our affected customers to a risk of loss or misuse of this information, result in litigation and potential liability for us, damage our brand and reputation, or otherwise harm our business. In addition, the cost and operational consequences of implementing further data protection measures could be significant.</w:t>
      </w:r>
    </w:p>
    <w:p>
      <w:pPr>
        <w:spacing w:after="0" w:line="2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Portions of our IT infrastructure also may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 Delayed sales, lower margins or lost customers resulting from these disruptions have in the past adversely affected, and in the future could adversely affect, our financial results, stock price and reputation.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develop products that comply with applicable government regulations.</w:t>
      </w:r>
    </w:p>
    <w:p>
      <w:pPr>
        <w:spacing w:after="0" w:line="90"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Our products must comply with government regulations. For example, in the United States, the Federal Communications Commission, or FCC, regulates many aspects of communications devices, including radiation of electromagnetic energy, biological safety and rules for devices to be connected to telephone networks. In addition to the federal government, some states have adopted regulations applicable to our products. Radio frequency devices, which include our modems, must be approved by obtaining equipment authorization from the FCC prior to being offered for sale. Regulatory requirements in Canada, Europe, Asia and other jurisdictions must also be met. Additionally, we cannot anticipate the effect that changes in domestic or foreign government regulations may have on our ability to develop and sell products in the future. Failure to comply with existing or evolving government regulations or to obtain timely regulatory approvals or certificates for our products could materially adversely affect our business, financial condition and results of operations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or circumvention of our controls and procedures could seriously harm our business.</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Any system of control and procedures, however well designed and operated, is based in part on certain assumptions and can provide only reasonable, and not absolute, assurances that the objectives of the controls and procedures are met. Acquired companies or businesses are likely to have different standards, controls, contracts, procedures and policies, making it more difficult to implement and harmonize company-wide financial, accounting, billing, information and other systems. Acquisitions of privately held companies and/or non-US companies are particularly challenging because their prior practices in these areas may not meet the requirements of the Sarbanes-Oxley Act or public accounting standards. The failure or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circumvention of our controls, policies and procedures could have a material adverse effect on our business, results of operations and financial position.</w:t>
      </w:r>
    </w:p>
    <w:p>
      <w:pPr>
        <w:spacing w:after="0" w:line="10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changes to existing accounting pronouncements or taxation rules or practices may cause adverse fluctuations in our reported results of operations or affect how we conduct our business.</w:t>
      </w:r>
    </w:p>
    <w:p>
      <w:pPr>
        <w:spacing w:after="0" w:line="35"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A change in accounting pronouncements or taxation rules or practices can have a significant effect on our reported results and may affect our reporting of transactions completed before the change is effective. New accounting pronouncements, taxation rules and varying interpretations of accounting pronouncements or taxation rules have occurred in the past and may occur in the future. The change to existing rules, future changes, if any, or the need for us to modify a current tax position may adversely affect our reported financial results or the way we conduct our business.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Our principal executive offices are located in San Diego, California where we lease approximately 96,000 square feet under an arrangement that expires in December 2016. We also currently lease approximately 21,000 square feet in Richardson, Texas under a lease arrangement that expires in June 2020. We further lease space in various geographic locations abroad primarily for sales and support personnel, for research and development, or for temporary facilities. We believe that our existing facilities are adequate to meet our current needs and that we can renew our existing leases or obtain alternative space on terms that would not have a material impact on our financial condition.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460" w:firstLine="486"/>
        <w:spacing w:after="0" w:line="342" w:lineRule="auto"/>
        <w:rPr>
          <w:sz w:val="20"/>
          <w:szCs w:val="20"/>
          <w:color w:val="auto"/>
        </w:rPr>
      </w:pPr>
      <w:r>
        <w:rPr>
          <w:rFonts w:ascii="Arial" w:cs="Arial" w:eastAsia="Arial" w:hAnsi="Arial"/>
          <w:sz w:val="16"/>
          <w:szCs w:val="16"/>
          <w:color w:val="auto"/>
        </w:rPr>
        <w:t>We are engaged in numerous legal actions arising in the ordinary course of our business and, while there can be no assurance, we believe that the ultimate outcome of these legal actions will not have a material adverse effect on our business, results of operations, financial condition or cash flows.</w:t>
      </w:r>
    </w:p>
    <w:p>
      <w:pPr>
        <w:spacing w:after="0" w:line="70"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disclosure in Note 13, “Commitments and Contingencies,” in the accompanying consolidated financial statements includes a discussion of our legal proceedings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Data</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Shares of our common stock are quoted and traded on The Nasdaq Global Select Market under the symbol “MIFI” and, prior to October 15, 2014, under the symbol “NVTL”. The following table sets forth, for the periods indicated, the high and low sales prices of our common stock as reported by The Nasdaq Global Select Market.</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High ($)</w:t>
            </w:r>
          </w:p>
        </w:tc>
        <w:tc>
          <w:tcPr>
            <w:tcW w:w="1020" w:type="dxa"/>
            <w:vAlign w:val="bottom"/>
          </w:tcPr>
          <w:p>
            <w:pPr>
              <w:jc w:val="right"/>
              <w:ind w:right="172"/>
              <w:spacing w:after="0"/>
              <w:rPr>
                <w:sz w:val="20"/>
                <w:szCs w:val="20"/>
                <w:color w:val="auto"/>
              </w:rPr>
            </w:pPr>
            <w:r>
              <w:rPr>
                <w:rFonts w:ascii="Arial" w:cs="Arial" w:eastAsia="Arial" w:hAnsi="Arial"/>
                <w:sz w:val="14"/>
                <w:szCs w:val="14"/>
                <w:b w:val="1"/>
                <w:bCs w:val="1"/>
                <w:color w:val="auto"/>
              </w:rPr>
              <w:t>Low ($)</w:t>
            </w:r>
          </w:p>
        </w:tc>
      </w:tr>
      <w:tr>
        <w:trPr>
          <w:trHeight w:val="250"/>
        </w:trPr>
        <w:tc>
          <w:tcPr>
            <w:tcW w:w="9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1.66</w:t>
            </w:r>
          </w:p>
        </w:tc>
      </w:tr>
      <w:tr>
        <w:trPr>
          <w:trHeight w:val="27"/>
        </w:trPr>
        <w:tc>
          <w:tcPr>
            <w:tcW w:w="9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1.67</w:t>
            </w:r>
          </w:p>
        </w:tc>
      </w:tr>
      <w:tr>
        <w:trPr>
          <w:trHeight w:val="27"/>
        </w:trPr>
        <w:tc>
          <w:tcPr>
            <w:tcW w:w="9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b w:val="1"/>
                <w:bCs w:val="1"/>
                <w:color w:val="auto"/>
              </w:rPr>
              <w:t>2013</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9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w:t>
            </w:r>
          </w:p>
        </w:tc>
      </w:tr>
      <w:tr>
        <w:trPr>
          <w:trHeight w:val="27"/>
        </w:trPr>
        <w:tc>
          <w:tcPr>
            <w:tcW w:w="9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1.95</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Stockholders of Record</w:t>
      </w:r>
    </w:p>
    <w:p>
      <w:pPr>
        <w:spacing w:after="0" w:line="94"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Our outstanding capital stock consists of a single class of common stock. As of March 3, 2015, there were approximately 43 holders of record of our common stock. Because many of the shares of our common stock are held by brokers and other institutions on behalf of stockholders, we are unable to estimate the total number of stockholders represented by these record holders.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ind w:right="140" w:firstLine="432"/>
        <w:spacing w:after="0" w:line="297" w:lineRule="auto"/>
        <w:rPr>
          <w:sz w:val="20"/>
          <w:szCs w:val="20"/>
          <w:color w:val="auto"/>
        </w:rPr>
      </w:pPr>
      <w:r>
        <w:rPr>
          <w:rFonts w:ascii="Arial" w:cs="Arial" w:eastAsia="Arial" w:hAnsi="Arial"/>
          <w:sz w:val="16"/>
          <w:szCs w:val="16"/>
          <w:color w:val="auto"/>
        </w:rPr>
        <w:t>We have never declared or paid cash dividends on any shares of our capital stock. We currently intend to retain all available funds for use in the operation and development of our business and, therefore, do not anticipate paying any cash dividends in the foreseeable future. Any future determination relating to our dividend policy will be made at the discretion of our board of directors and will depend on a number of factors, including future earnings, capital requirements, financial condition and future prospects and other factors the board of directors may deem relevant. Under the terms of our $25 million senior secured revolving credit facility with Wells Fargo Bank, NA, we are prohibited from declaring or paying any cash dividends on our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the Company’s common stock between December 31, 2009 and December 31, 2014 with the cumulative total return of (i) the Nasdaq Stock Market (U.S.) Index or the Nasdaq Composite Index and (ii) the Nasdaq Telecommunications Index, or the Nasdaq Telecom Index, over the same period. This graph assumes the investment of $100.00 on December 31, 2009 in the common stock of the Company, the Nasdaq Composite Index and the Nasdaq Telecom Index and assumes the reinvestment of any dividends. The stockholder return shown on the graph below should not be considered indicative of future stockholder returns and the Company will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234315</wp:posOffset>
            </wp:positionV>
            <wp:extent cx="5042535" cy="4193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2535" cy="4193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Cumulative Total Return</w:t>
            </w: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12/09</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12/10</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12/11</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12/12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12/13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12/14</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Novatel Wireless, Inc.</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119.82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40.40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NASDAQ Composite</w:t>
            </w: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80" w:type="dxa"/>
            <w:vAlign w:val="bottom"/>
          </w:tcPr>
          <w:p>
            <w:pPr>
              <w:jc w:val="right"/>
              <w:ind w:right="54"/>
              <w:spacing w:after="0"/>
              <w:rPr>
                <w:sz w:val="20"/>
                <w:szCs w:val="20"/>
                <w:color w:val="auto"/>
              </w:rPr>
            </w:pPr>
            <w:r>
              <w:rPr>
                <w:rFonts w:ascii="Arial" w:cs="Arial" w:eastAsia="Arial" w:hAnsi="Arial"/>
                <w:sz w:val="18"/>
                <w:szCs w:val="18"/>
                <w:color w:val="auto"/>
              </w:rPr>
              <w:t>117.61</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118.70</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139.00</w:t>
            </w:r>
          </w:p>
        </w:tc>
        <w:tc>
          <w:tcPr>
            <w:tcW w:w="10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196.83</w:t>
            </w:r>
          </w:p>
        </w:tc>
        <w:tc>
          <w:tcPr>
            <w:tcW w:w="12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223.74</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NASDAQ Telecommunications</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107.95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96.16</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100.40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139.11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148.69</w:t>
            </w:r>
          </w:p>
        </w:tc>
      </w:tr>
      <w:tr>
        <w:trPr>
          <w:trHeight w:val="27"/>
        </w:trPr>
        <w:tc>
          <w:tcPr>
            <w:tcW w:w="3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4"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None, except as to (i) the description of our issuance of unregistered shares of common stock in connection with the settlement of our recent stockholder litigation and (ii) the description of our sale and issuance of common stock, shares of our Series C Convertible Preferred Stock, par value $0.001 per share (the “Series C Preferred Stock”) and a warrant to purchase 4,117,647 shares of our common stock at an exercise price of $2.26 per share (the “Warrant”), as disclosed in our Current Reports on Form 8-K filed on July 2, 2014 and September 8, 2014, respectively, each of which is incorporated herein by reference.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94"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following selected financial data should be read in conjunction with our consolidated financial statements and the related notes and “Management’s Discussion and Analysis of Financial Condition and Results of Operations” appearing elsewhere in this report. The selected consolidated statements of operations data presented below for each of the years ended December 31, 2014, 2013 and 2012, and the consolidated balance sheet data at December 31, 2014 and 2013 are derived from our consolidated financial statements included elsewhere in this report. The selected consolidated statements of operations data for the years ended December 31, 2011 and 2010 and consolidated balance sheet data at December 31, 2012, 2011 and 2010 are derived from the audited consolidated financial statements not included in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1"/>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2010</w:t>
            </w:r>
          </w:p>
        </w:tc>
      </w:tr>
      <w:tr>
        <w:trPr>
          <w:trHeight w:val="3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8"/>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20" w:type="dxa"/>
            <w:vAlign w:val="bottom"/>
            <w:gridSpan w:val="8"/>
          </w:tcPr>
          <w:p>
            <w:pPr>
              <w:jc w:val="center"/>
              <w:ind w:right="260"/>
              <w:spacing w:after="0"/>
              <w:rPr>
                <w:sz w:val="20"/>
                <w:szCs w:val="20"/>
                <w:color w:val="auto"/>
              </w:rPr>
            </w:pPr>
            <w:r>
              <w:rPr>
                <w:rFonts w:ascii="Arial" w:cs="Arial" w:eastAsia="Arial" w:hAnsi="Arial"/>
                <w:sz w:val="16"/>
                <w:szCs w:val="16"/>
                <w:b w:val="1"/>
                <w:bCs w:val="1"/>
                <w:color w:val="auto"/>
                <w:w w:val="89"/>
              </w:rPr>
              <w:t>(in thousands, except per share data)</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185,245</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335,053</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344,288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402,862</w:t>
            </w:r>
          </w:p>
        </w:tc>
        <w:tc>
          <w:tcPr>
            <w:tcW w:w="10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338,942</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net revenues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148,198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266,759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271,845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318,270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272,648</w:t>
            </w:r>
          </w:p>
        </w:tc>
      </w:tr>
      <w:tr>
        <w:trPr>
          <w:trHeight w:val="217"/>
        </w:trPr>
        <w:tc>
          <w:tcPr>
            <w:tcW w:w="4240" w:type="dxa"/>
            <w:vAlign w:val="bottom"/>
          </w:tcPr>
          <w:p>
            <w:pPr>
              <w:ind w:left="720"/>
              <w:spacing w:after="0"/>
              <w:rPr>
                <w:sz w:val="20"/>
                <w:szCs w:val="20"/>
                <w:color w:val="auto"/>
              </w:rPr>
            </w:pPr>
            <w:r>
              <w:rPr>
                <w:rFonts w:ascii="Arial" w:cs="Arial" w:eastAsia="Arial" w:hAnsi="Arial"/>
                <w:sz w:val="16"/>
                <w:szCs w:val="16"/>
                <w:color w:val="auto"/>
              </w:rPr>
              <w:t>Gross profit</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37,047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68,294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72,443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84,592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66,294</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costs and expenses: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60"/>
        </w:trPr>
        <w:tc>
          <w:tcPr>
            <w:tcW w:w="42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34,314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48,246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60,422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61,392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48,906</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and marketing</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20,978</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15,402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24,179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22,668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21,600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21,233</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and intangible assets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Amortization of purchased intangible assets</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179</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Shareholder litigation loss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7,760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3,304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111,515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161,186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91,296</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Operating loss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(35,573)</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(43,221)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(88,743)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(33,727)</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(25,002)</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76"/>
        </w:trPr>
        <w:tc>
          <w:tcPr>
            <w:tcW w:w="4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4"/>
        </w:trPr>
        <w:tc>
          <w:tcPr>
            <w:tcW w:w="424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47"/>
        </w:trPr>
        <w:tc>
          <w:tcPr>
            <w:tcW w:w="4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fair value of warrant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Interest income (expense), net</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(2,518)</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1,963</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(39,105)</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(43,330)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(88,655)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(34,395)</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(25,557)</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7,893</w:t>
            </w:r>
          </w:p>
        </w:tc>
      </w:tr>
      <w:tr>
        <w:trPr>
          <w:trHeight w:val="217"/>
        </w:trPr>
        <w:tc>
          <w:tcPr>
            <w:tcW w:w="424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(39,229)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(43,413)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(89,266)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(24,892)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(33,450)</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Recognition of beneficial conversion feature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8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common shareholders</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(39,674)</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(43,413)</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(89,266)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(24,892)</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(33,450)</w:t>
            </w:r>
          </w:p>
        </w:tc>
      </w:tr>
      <w:tr>
        <w:trPr>
          <w:trHeight w:val="18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loss per share attributable to common shareholders:</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24"/>
        </w:trPr>
        <w:tc>
          <w:tcPr>
            <w:tcW w:w="4240" w:type="dxa"/>
            <w:vAlign w:val="bottom"/>
          </w:tcPr>
          <w:p>
            <w:pPr>
              <w:ind w:left="380"/>
              <w:spacing w:after="0"/>
              <w:rPr>
                <w:sz w:val="20"/>
                <w:szCs w:val="20"/>
                <w:color w:val="auto"/>
              </w:rPr>
            </w:pPr>
            <w:r>
              <w:rPr>
                <w:rFonts w:ascii="Arial" w:cs="Arial" w:eastAsia="Arial" w:hAnsi="Arial"/>
                <w:sz w:val="16"/>
                <w:szCs w:val="16"/>
                <w:color w:val="auto"/>
              </w:rPr>
              <w:t>Basic and diluted</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(0.78)</w:t>
            </w:r>
          </w:p>
        </w:tc>
        <w:tc>
          <w:tcPr>
            <w:tcW w:w="100" w:type="dxa"/>
            <w:vAlign w:val="bottom"/>
          </w:tcPr>
          <w:p>
            <w:pPr>
              <w:spacing w:after="0"/>
              <w:rPr>
                <w:sz w:val="19"/>
                <w:szCs w:val="19"/>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73"/>
        </w:trPr>
        <w:tc>
          <w:tcPr>
            <w:tcW w:w="424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177"/>
        </w:trPr>
        <w:tc>
          <w:tcPr>
            <w:tcW w:w="42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Weighted average shares outstanding:</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74"/>
        </w:trPr>
        <w:tc>
          <w:tcPr>
            <w:tcW w:w="4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37"/>
        </w:trPr>
        <w:tc>
          <w:tcPr>
            <w:tcW w:w="4240" w:type="dxa"/>
            <w:vAlign w:val="bottom"/>
          </w:tcPr>
          <w:p>
            <w:pPr>
              <w:ind w:left="380"/>
              <w:spacing w:after="0"/>
              <w:rPr>
                <w:sz w:val="20"/>
                <w:szCs w:val="20"/>
                <w:color w:val="auto"/>
              </w:rPr>
            </w:pPr>
            <w:r>
              <w:rPr>
                <w:rFonts w:ascii="Arial" w:cs="Arial" w:eastAsia="Arial" w:hAnsi="Arial"/>
                <w:sz w:val="16"/>
                <w:szCs w:val="16"/>
                <w:color w:val="auto"/>
              </w:rPr>
              <w:t>Basic and diluted</w:t>
            </w:r>
          </w:p>
        </w:tc>
        <w:tc>
          <w:tcPr>
            <w:tcW w:w="2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37,959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33,948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32,852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32,043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31,494</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4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2013</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2010</w:t>
            </w:r>
          </w:p>
        </w:tc>
      </w:tr>
      <w:tr>
        <w:trPr>
          <w:trHeight w:val="217"/>
        </w:trPr>
        <w:tc>
          <w:tcPr>
            <w:tcW w:w="4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2"/>
              </w:rPr>
              <w:t>(in thousands)</w:t>
            </w: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 xml:space="preserve">Cash and cash equivalents and marketable securities </w:t>
            </w:r>
            <w:r>
              <w:rPr>
                <w:rFonts w:ascii="Arial" w:cs="Arial" w:eastAsia="Arial" w:hAnsi="Arial"/>
                <w:sz w:val="21"/>
                <w:szCs w:val="21"/>
                <w:color w:val="auto"/>
                <w:vertAlign w:val="superscript"/>
              </w:rPr>
              <w:t>(1)</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17,853</w:t>
            </w: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25,532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55,309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88,831</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97,826</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Working capital</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29,397</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40,928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67,199</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81,113</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87,174</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95,020</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111,465</w:t>
            </w:r>
          </w:p>
        </w:tc>
        <w:tc>
          <w:tcPr>
            <w:tcW w:w="2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161,531</w:t>
            </w:r>
          </w:p>
        </w:tc>
        <w:tc>
          <w:tcPr>
            <w:tcW w:w="3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249,179</w:t>
            </w: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302,108</w:t>
            </w:r>
          </w:p>
        </w:tc>
      </w:tr>
      <w:tr>
        <w:trPr>
          <w:trHeight w:val="33"/>
        </w:trPr>
        <w:tc>
          <w:tcPr>
            <w:tcW w:w="4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30,546</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44,916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85,447</w:t>
            </w: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166,025</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185,403</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6,090</w:t>
            </w:r>
          </w:p>
        </w:tc>
        <w:tc>
          <w:tcPr>
            <w:tcW w:w="3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11,848</w:t>
            </w:r>
          </w:p>
        </w:tc>
        <w:tc>
          <w:tcPr>
            <w:tcW w:w="26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2,552</w:t>
            </w:r>
          </w:p>
        </w:tc>
        <w:tc>
          <w:tcPr>
            <w:tcW w:w="3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4,080</w:t>
            </w:r>
          </w:p>
        </w:tc>
        <w:tc>
          <w:tcPr>
            <w:tcW w:w="38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12,886</w:t>
            </w:r>
          </w:p>
        </w:tc>
      </w:tr>
      <w:tr>
        <w:trPr>
          <w:trHeight w:val="249"/>
        </w:trPr>
        <w:tc>
          <w:tcPr>
            <w:tcW w:w="4240" w:type="dxa"/>
            <w:vAlign w:val="bottom"/>
          </w:tcPr>
          <w:p>
            <w:pPr>
              <w:spacing w:after="0"/>
              <w:rPr>
                <w:sz w:val="20"/>
                <w:szCs w:val="20"/>
                <w:color w:val="auto"/>
              </w:rPr>
            </w:pPr>
            <w:r>
              <w:rPr>
                <w:rFonts w:ascii="Arial" w:cs="Arial" w:eastAsia="Arial" w:hAnsi="Arial"/>
                <w:sz w:val="18"/>
                <w:szCs w:val="18"/>
                <w:color w:val="auto"/>
              </w:rPr>
              <w:t>(1) Includes restricted marketable securities in 2013.</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40" w:top="125" w:right="27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i w:val="1"/>
          <w:iCs w:val="1"/>
          <w:color w:val="auto"/>
        </w:rPr>
        <w:t>The following discussion of our consolidated financial condition and results of operations should be read in conjunction with our consolidated financial statements and related notes included elsewhere in this report. This report contains certain forward-looking statements relating to future events or our future financial performance. These statements are subject to risks and uncertainties which could cause actual results to differ materially from those discussed in this report. You are cautioned not to place undue reliance on this information which speaks only as of the date of this report. We are not obligated to update this information, whether as a result of new information, future events or otherwise, except to the extent we are required to by law. For a discussion of the important risks related to our business and future operating performance, see the discussion under the caption “Item 1A. Risk Factors” and under the caption “Factors Which May Influence Future Results of Operations” below. In light of these risks, uncertainties and assumptions, the forward-looking events discussed in this report might not occur.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Background</w:t>
      </w:r>
    </w:p>
    <w:p>
      <w:pPr>
        <w:spacing w:after="0" w:line="94"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We are a provider of intelligent wireless solutions for the worldwide mobile communications market. Our broad range of products principally includes intelligent mobile hotspots, USB modems, embedded modules, integrated asset-management and mobile tracking M2M devices, communications and applications software and cloud services</w:t>
      </w:r>
    </w:p>
    <w:p>
      <w:pPr>
        <w:spacing w:after="0" w:line="46"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Our products currently operate on every major cellular wireless technology platform. Our mobile hotspots, embedded modules, and modems provide subscribers with secure and convenient high-speed access to corporate, public and personal information through the Internet and enterprise networks. Our M2M products enable devices to communicate with each other and with server or cloud-based application infrastructures. Our M2M products and solutions include our M2M embedded modules, integrated M2M communications devices and our service delivery platform, the N4A™ DM and N4A™ CMS, that provides easy device management and service enablement.</w:t>
      </w:r>
    </w:p>
    <w:p>
      <w:pPr>
        <w:spacing w:after="0" w:line="53"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Our mobile-hotspot and modem customer base is comprised of wireless operators, including Verizon Wireless, AT&amp;T, and Sprint, as well as distributors and various companies in other vertical markets. Our M2M customer base is comprised of transportation companies, industrial companies, manufacturers, application service providers, system integrators and distributors. Our solutions address multiple vertical markets for our customers including commercial telematics, after-market telematics, remote monitoring and control, security and connected home. We have strategic relationships with several of these customers that provide input and validation of our product requirements across the various vertical markets.</w:t>
      </w:r>
    </w:p>
    <w:p>
      <w:pPr>
        <w:spacing w:after="0" w:line="3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sell our wireless broadband solutions primarily to wireless operators either directly or through strategic relationships. Most of our mobile-computing product sales to wireless operators are sold directly by our sales force, or to a lesser degree, through distributors. We sell our M2M solutions primarily to enterprises in the following industries: transportation; energy and industrial automation; security and safety; and medical monitoring. We sell our M2M solutions through our direct sales force and through distributors.</w:t>
      </w:r>
    </w:p>
    <w:p>
      <w:pPr>
        <w:spacing w:after="0" w:line="52"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innovation, time-to-market, performance, meeting industry standards and customer product specifications, ease of integration, cost reduction, manufacturability, quality and reliability.</w:t>
      </w:r>
    </w:p>
    <w:p>
      <w:pPr>
        <w:spacing w:after="0" w:line="53"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hardware used in our solutions is produced by contract manufacturers. Their services include component procurement, assembly, testing, quality control and fulfillment. Our contract manufacturers include: Inventec Appliances Corporation, Hon Hai Precision Industry Co., Ltd. and Benchmark Electronics. Under our manufacturing agreements, contract manufacturers provide us with services including component procurement, product manufacturing, final assembly, testing, quality control and fulfillment.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Operations Overview</w:t>
      </w:r>
    </w:p>
    <w:p>
      <w:pPr>
        <w:spacing w:after="0" w:line="9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 2014, we restructured our operations in an effort to increase future revenue levels and gross margins, lower our operating costs and achieve profitability. In the mobile computing business, we are focusing our development efforts only on those products that we believe have the greatest potential sales volume and will generate the highest gross profits and return on development investment. These products are targeted at the tier one telecommunications operators in North America with derivative products for other markets. We expect this strategy to reduce the number of products developed for sale in the mobile computing segment and result in an improved return on investment from development costs expended. Operating loss also improved throughout the year with a $18.4 million loss in the first half of the year as compared to a $5.0 million loss in the second half of the year.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80" w:firstLine="405"/>
        <w:spacing w:after="0" w:line="312" w:lineRule="auto"/>
        <w:rPr>
          <w:sz w:val="20"/>
          <w:szCs w:val="20"/>
          <w:color w:val="auto"/>
        </w:rPr>
      </w:pPr>
      <w:r>
        <w:rPr>
          <w:rFonts w:ascii="Arial" w:cs="Arial" w:eastAsia="Arial" w:hAnsi="Arial"/>
          <w:sz w:val="16"/>
          <w:szCs w:val="16"/>
          <w:color w:val="auto"/>
        </w:rPr>
        <w:t>Additionally, we have invested significant resources in our M2M product and services portfolio. This investment has allowed us to engage with new development partner customers in targeted verticals, including commercial and after-market telematics, and remote monitoring, control and security. We are currently integrating our products and services into their business processes, which we believe will contribute to future revenue growth.</w:t>
      </w:r>
    </w:p>
    <w:p>
      <w:pPr>
        <w:spacing w:after="0" w:line="12"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Net revenues from our Mobile Computing Products segment decreased 51.1% in the year ended December 31, 2014, compared to 2013. However, despite the $152.0 million reduction in revenue, operating loss from Mobile Computing Products improved by $4.6 million, or 16.5%, compared to 2013. Net revenues from Mobile Computing Products increased in the second half of 2014 from the first half of the year, in part due to the launch of the MiFi® 6620L in the third quarter, and are expected to continue to increase in 2015.</w:t>
      </w:r>
    </w:p>
    <w:p>
      <w:pPr>
        <w:spacing w:after="0" w:line="16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revenues in our M2M Products and Solutions segment grew $2.2 million or 5.8% in the year ended December 31, 2014, compared to 2013. Operating loss from M2M Products and Solutions improved from a $15.3 million loss for the prior year to a $12.2 million loss for the year ended December 31, 2014. Net revenues from M2M Products and Solutions for the full fiscal year 2015 are anticipated to exceed the revenue in 2014, primarily based upon the increased adoption of our new products.</w:t>
      </w:r>
    </w:p>
    <w:p>
      <w:pPr>
        <w:spacing w:after="0" w:line="16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have restructured our research and development process by reducing the size of our in-house engineering staff. This change replaced some of our fixed research and development costs (due primarily to a decrease in our employee headcount and related compensation expenses) with variable costs and is expected to result in a lower overall cost of research and development and a more variable cost structure going forward. We expect to continue to make focused investments in research and development.</w:t>
      </w:r>
    </w:p>
    <w:p>
      <w:pPr>
        <w:spacing w:after="0" w:line="16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also been focused on completing the integration of our mobile computing business with our M2M business to increase operational efficiencies and reduce our operating expenses. The total operating expenses incurred for the twelve months ended December 31, 2014 were $72.6 million compared to $111.5 million for 2013, a 34.9% year over year reduction. This reduction is primarily due to a reduction of employee headcount and related compensation expenses, as well as reduced shareholder litigation loss. Our current employee headcount at December 31, 2014 was 240 as compared to 316 at December 31, 2013 and 459 at December 31, 2012.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4" w:lineRule="exact"/>
        <w:rPr>
          <w:sz w:val="20"/>
          <w:szCs w:val="20"/>
          <w:color w:val="auto"/>
        </w:rPr>
      </w:pPr>
    </w:p>
    <w:p>
      <w:pPr>
        <w:ind w:right="380" w:firstLine="432"/>
        <w:spacing w:after="0" w:line="302" w:lineRule="auto"/>
        <w:rPr>
          <w:sz w:val="20"/>
          <w:szCs w:val="20"/>
          <w:color w:val="auto"/>
        </w:rPr>
      </w:pPr>
      <w:r>
        <w:rPr>
          <w:rFonts w:ascii="Arial" w:cs="Arial" w:eastAsia="Arial" w:hAnsi="Arial"/>
          <w:sz w:val="16"/>
          <w:szCs w:val="16"/>
          <w:i w:val="1"/>
          <w:iCs w:val="1"/>
          <w:color w:val="auto"/>
        </w:rPr>
        <w:t xml:space="preserve">Net Revenues. </w:t>
      </w:r>
      <w:r>
        <w:rPr>
          <w:rFonts w:ascii="Arial" w:cs="Arial" w:eastAsia="Arial" w:hAnsi="Arial"/>
          <w:sz w:val="16"/>
          <w:szCs w:val="16"/>
          <w:color w:val="auto"/>
        </w:rPr>
        <w:t>We believe that our future net revenues will be influenced largely by the speed and breadth of the demand for wireless access to data</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use of next generation networks, including demand for 3G and 4G products, 3G and 4G data access services (particularly in North America, Latina America, Europe and Asia), customer acceptance for our new products that address these markets, including our MiFi line of Intelligent Mobile Hotspots, and our ability to meet customer demand. Factors that could potentially affect customer demand for our products include the following:</w:t>
      </w:r>
    </w:p>
    <w:p>
      <w:pPr>
        <w:spacing w:after="0" w:line="154"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environment and related market conditions;</w:t>
      </w:r>
    </w:p>
    <w:p>
      <w:pPr>
        <w:spacing w:after="0" w:line="103" w:lineRule="exact"/>
        <w:rPr>
          <w:rFonts w:ascii="Arial" w:cs="Arial" w:eastAsia="Arial" w:hAnsi="Arial"/>
          <w:sz w:val="18"/>
          <w:szCs w:val="18"/>
          <w:color w:val="auto"/>
        </w:rPr>
      </w:pPr>
    </w:p>
    <w:p>
      <w:pPr>
        <w:ind w:left="980" w:right="420" w:hanging="324"/>
        <w:spacing w:after="0" w:line="36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competition from other wireless data device suppliers as well as suppliers of emerging devices that contain a wireless data access feature;</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deployment of 4G networks by wireless operators;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demand for 3G and 4G products;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pricing;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revenues are also significantly dependent upon the availability of materials and components used in our products.</w:t>
      </w:r>
    </w:p>
    <w:p>
      <w:pPr>
        <w:spacing w:after="0" w:line="90" w:lineRule="exact"/>
        <w:rPr>
          <w:sz w:val="20"/>
          <w:szCs w:val="20"/>
          <w:color w:val="auto"/>
        </w:rPr>
      </w:pPr>
    </w:p>
    <w:p>
      <w:pPr>
        <w:ind w:right="280" w:firstLine="432"/>
        <w:spacing w:after="0" w:line="302" w:lineRule="auto"/>
        <w:rPr>
          <w:sz w:val="20"/>
          <w:szCs w:val="20"/>
          <w:color w:val="auto"/>
        </w:rPr>
      </w:pPr>
      <w:r>
        <w:rPr>
          <w:rFonts w:ascii="Arial" w:cs="Arial" w:eastAsia="Arial" w:hAnsi="Arial"/>
          <w:sz w:val="16"/>
          <w:szCs w:val="16"/>
          <w:color w:val="auto"/>
        </w:rPr>
        <w:t>We anticipate introducing additional products during the next twelve months, including 4G broadband-access products, M2M solutions and software applications and platforms. We continue to develop and maintain strategic relationships with wireless and computing industry leaders like QUALCOMM, Verizon Wireless, AT&amp;T and Sprint and major software vendors. Through strategic relationships, we have been able to maintain market penetration by leveraging the resources of our channel partners, including their access to distribution resources, increased sales opportunities and market opportunities.</w:t>
      </w:r>
    </w:p>
    <w:p>
      <w:pPr>
        <w:spacing w:after="0" w:line="19"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i w:val="1"/>
          <w:iCs w:val="1"/>
          <w:color w:val="auto"/>
        </w:rPr>
        <w:t xml:space="preserve">Cost of Net Revenues. </w:t>
      </w:r>
      <w:r>
        <w:rPr>
          <w:rFonts w:ascii="Arial" w:cs="Arial" w:eastAsia="Arial" w:hAnsi="Arial"/>
          <w:sz w:val="18"/>
          <w:szCs w:val="18"/>
          <w:color w:val="auto"/>
        </w:rPr>
        <w:t>All costs associated with our contract manufacturers, as well as distribution, fulfillment and repair services, are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net revenues. Cost of net revenues also includes warranty costs, amortization of intangible assets, royalties, operations overhead, costs associated with our cancellation of purchase orders, costs related to outside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and costs related to inventory adjustments, including write downs for excess and obsolete inventory. Inventory adjustments are impacted primarily by demand for our products, which is influenced by the factors discussed above.</w:t>
      </w:r>
    </w:p>
    <w:p>
      <w:pPr>
        <w:spacing w:after="0" w:line="35"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Latin America, Europe and Asia.</w:t>
      </w:r>
      <w:r>
        <w:rPr>
          <w:rFonts w:ascii="Arial" w:cs="Arial" w:eastAsia="Arial" w:hAnsi="Arial"/>
          <w:sz w:val="16"/>
          <w:szCs w:val="16"/>
          <w:i w:val="1"/>
          <w:iCs w:val="1"/>
          <w:color w:val="auto"/>
        </w:rPr>
        <w:t xml:space="preserve"> </w:t>
      </w:r>
      <w:r>
        <w:rPr>
          <w:rFonts w:ascii="Arial" w:cs="Arial" w:eastAsia="Arial" w:hAnsi="Arial"/>
          <w:sz w:val="16"/>
          <w:szCs w:val="16"/>
          <w:color w:val="auto"/>
        </w:rPr>
        <w:t>We will likely develop new products to serve these markets, resulting in increased research and development expenses. We have incurred these expenses in the past and expect to continue to incur these expenses in future periods prior to recognizing net revenues from sales of these products.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operating costs consist of three primary categories: research and development; sales and marketing; and general and administrative costs.</w:t>
      </w:r>
    </w:p>
    <w:p>
      <w:pPr>
        <w:spacing w:after="0" w:line="102"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Research and development are at the core of our ability to produce innovative, leading-edge products. This category consists primarily of engineers and technicians who design and test our highly complex products and the acquisition of testing and certification services.</w:t>
      </w:r>
    </w:p>
    <w:p>
      <w:pPr>
        <w:spacing w:after="0" w:line="3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Sales and marketing expense consists primarily of our sales force and product-marketing professionals. In order to maintain strong sales relationships, we provide co-marketing, trade show support, product training and demo units for merchandising. We are also engaged in a wide variety of activities, such as awareness and lead generation programs as well as product marketing. Other marketing initiatives include public relations, seminars and co-branding with partners.</w:t>
      </w:r>
    </w:p>
    <w:p>
      <w:pPr>
        <w:spacing w:after="0" w:line="52"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General and administrative expenses include primarily corporate functions such as accounting, human resources, legal, administrative support, and professional fees. This category also includes the expenses needed to operate as a publicly-traded company, including Sarbanes-Oxley compliance, SEC filings, stock-exchange fees, and investor-relations expense. Although general and administrative expenses are not directly related to revenue levels, certain expenses such as, legal expenses and provisions for bad debts may cause significant volatility in future general and administrative expenses.</w:t>
      </w:r>
    </w:p>
    <w:p>
      <w:pPr>
        <w:spacing w:after="0" w:line="19"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have undertaken certain restructuring activities and cost reduction initiatives in an effort to better align our organizational structure and costs with our strategy. Restructuring activities consist primarily of severance costs incurred in connection with the reduction of our workforce and facility exit related costs.</w:t>
      </w:r>
    </w:p>
    <w:p>
      <w:pPr>
        <w:spacing w:after="0" w:line="46"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As part of our business strategy, we review, and intend to continue to review, acquisition opportunities that we believe would be advantageous or complementary to the development of our business. Given our current cash position and recent losses, any acquisitions we make would likely involve issuing stock and/or borrowing additional funds in order to provide the purchase consideration for the acquisitions. If we make any acquisitions, we may incur substantial expenditures in conjunction with the acquisition process and the subsequent assimilation of any acquired business, products, technologies or personnel.</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sets forth our consolidated statements of operations expressed as a percentage of net revenues for the periods indicated.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1240" w:type="dxa"/>
            <w:vAlign w:val="bottom"/>
            <w:tcBorders>
              <w:bottom w:val="single" w:sz="8" w:color="auto"/>
            </w:tcBorders>
          </w:tcPr>
          <w:p>
            <w:pPr>
              <w:spacing w:after="0"/>
              <w:rPr>
                <w:sz w:val="16"/>
                <w:szCs w:val="16"/>
                <w:color w:val="auto"/>
              </w:rPr>
            </w:pPr>
          </w:p>
        </w:tc>
      </w:tr>
      <w:tr>
        <w:trPr>
          <w:trHeight w:val="264"/>
        </w:trPr>
        <w:tc>
          <w:tcPr>
            <w:tcW w:w="6500" w:type="dxa"/>
            <w:vAlign w:val="bottom"/>
          </w:tcPr>
          <w:p>
            <w:pPr>
              <w:spacing w:after="0"/>
              <w:rPr>
                <w:sz w:val="22"/>
                <w:szCs w:val="22"/>
                <w:color w:val="auto"/>
              </w:rPr>
            </w:pPr>
          </w:p>
        </w:tc>
        <w:tc>
          <w:tcPr>
            <w:tcW w:w="15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2014</w:t>
            </w:r>
          </w:p>
        </w:tc>
        <w:tc>
          <w:tcPr>
            <w:tcW w:w="1660" w:type="dxa"/>
            <w:vAlign w:val="bottom"/>
            <w:tcBorders>
              <w:bottom w:val="single" w:sz="8" w:color="auto"/>
            </w:tcBorders>
            <w:gridSpan w:val="2"/>
          </w:tcPr>
          <w:p>
            <w:pPr>
              <w:jc w:val="center"/>
              <w:ind w:left="1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2012</w:t>
            </w:r>
          </w:p>
        </w:tc>
      </w:tr>
      <w:tr>
        <w:trPr>
          <w:trHeight w:val="196"/>
        </w:trPr>
        <w:tc>
          <w:tcPr>
            <w:tcW w:w="6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0"/>
              </w:rPr>
              <w:t>(as a percent of net revenues)</w:t>
            </w:r>
          </w:p>
        </w:tc>
        <w:tc>
          <w:tcPr>
            <w:tcW w:w="1240" w:type="dxa"/>
            <w:vAlign w:val="bottom"/>
          </w:tcPr>
          <w:p>
            <w:pPr>
              <w:spacing w:after="0"/>
              <w:rPr>
                <w:sz w:val="17"/>
                <w:szCs w:val="17"/>
                <w:color w:val="auto"/>
              </w:rPr>
            </w:pPr>
          </w:p>
        </w:tc>
      </w:tr>
      <w:tr>
        <w:trPr>
          <w:trHeight w:val="256"/>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80.0</w:t>
            </w:r>
          </w:p>
        </w:tc>
        <w:tc>
          <w:tcPr>
            <w:tcW w:w="1660" w:type="dxa"/>
            <w:vAlign w:val="bottom"/>
            <w:gridSpan w:val="2"/>
          </w:tcPr>
          <w:p>
            <w:pPr>
              <w:jc w:val="right"/>
              <w:ind w:right="153"/>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79.0</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Gross profit</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20.0</w:t>
            </w:r>
          </w:p>
        </w:tc>
        <w:tc>
          <w:tcPr>
            <w:tcW w:w="166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21.0</w:t>
            </w:r>
          </w:p>
        </w:tc>
      </w:tr>
      <w:tr>
        <w:trPr>
          <w:trHeight w:val="223"/>
        </w:trPr>
        <w:tc>
          <w:tcPr>
            <w:tcW w:w="65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6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18.5</w:t>
            </w:r>
          </w:p>
        </w:tc>
        <w:tc>
          <w:tcPr>
            <w:tcW w:w="166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17.5</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7.4</w:t>
            </w:r>
          </w:p>
        </w:tc>
        <w:tc>
          <w:tcPr>
            <w:tcW w:w="1660" w:type="dxa"/>
            <w:vAlign w:val="bottom"/>
            <w:gridSpan w:val="2"/>
          </w:tcPr>
          <w:p>
            <w:pPr>
              <w:jc w:val="right"/>
              <w:ind w:right="15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8.0</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8.3</w:t>
            </w:r>
          </w:p>
        </w:tc>
        <w:tc>
          <w:tcPr>
            <w:tcW w:w="166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6.6</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Goodwill and intangible assets impairment</w:t>
            </w: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20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14.4</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purchased intangible assets</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w:t>
            </w:r>
          </w:p>
        </w:tc>
        <w:tc>
          <w:tcPr>
            <w:tcW w:w="166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r>
      <w:tr>
        <w:trPr>
          <w:trHeight w:val="243"/>
        </w:trPr>
        <w:tc>
          <w:tcPr>
            <w:tcW w:w="6500" w:type="dxa"/>
            <w:vAlign w:val="bottom"/>
          </w:tcPr>
          <w:p>
            <w:pPr>
              <w:ind w:left="380"/>
              <w:spacing w:after="0"/>
              <w:rPr>
                <w:sz w:val="20"/>
                <w:szCs w:val="20"/>
                <w:color w:val="auto"/>
              </w:rPr>
            </w:pPr>
            <w:r>
              <w:rPr>
                <w:rFonts w:ascii="Arial" w:cs="Arial" w:eastAsia="Arial" w:hAnsi="Arial"/>
                <w:sz w:val="18"/>
                <w:szCs w:val="18"/>
                <w:color w:val="auto"/>
              </w:rPr>
              <w:t>Shareholder litigation loss</w:t>
            </w: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0.4</w:t>
            </w:r>
          </w:p>
        </w:tc>
        <w:tc>
          <w:tcPr>
            <w:tcW w:w="1660" w:type="dxa"/>
            <w:vAlign w:val="bottom"/>
            <w:gridSpan w:val="2"/>
          </w:tcPr>
          <w:p>
            <w:pPr>
              <w:jc w:val="right"/>
              <w:ind w:right="153"/>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0.0</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4.2</w:t>
            </w:r>
          </w:p>
        </w:tc>
        <w:tc>
          <w:tcPr>
            <w:tcW w:w="166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0.0</w:t>
            </w:r>
          </w:p>
        </w:tc>
      </w:tr>
      <w:tr>
        <w:trPr>
          <w:trHeight w:val="237"/>
        </w:trPr>
        <w:tc>
          <w:tcPr>
            <w:tcW w:w="6500" w:type="dxa"/>
            <w:vAlign w:val="bottom"/>
          </w:tcPr>
          <w:p>
            <w:pPr>
              <w:ind w:left="720"/>
              <w:spacing w:after="0"/>
              <w:rPr>
                <w:sz w:val="20"/>
                <w:szCs w:val="20"/>
                <w:color w:val="auto"/>
              </w:rPr>
            </w:pPr>
            <w:r>
              <w:rPr>
                <w:rFonts w:ascii="Arial" w:cs="Arial" w:eastAsia="Arial" w:hAnsi="Arial"/>
                <w:sz w:val="18"/>
                <w:szCs w:val="18"/>
                <w:color w:val="auto"/>
              </w:rPr>
              <w:t>Total operating costs and expenses</w:t>
            </w:r>
          </w:p>
        </w:tc>
        <w:tc>
          <w:tcPr>
            <w:tcW w:w="158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46.8</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(19.2)</w:t>
            </w:r>
          </w:p>
        </w:tc>
        <w:tc>
          <w:tcPr>
            <w:tcW w:w="16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(25.8)</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w:t>
            </w:r>
          </w:p>
        </w:tc>
        <w:tc>
          <w:tcPr>
            <w:tcW w:w="158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58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1580" w:type="dxa"/>
            <w:vAlign w:val="bottom"/>
          </w:tcPr>
          <w:p>
            <w:pPr>
              <w:jc w:val="right"/>
              <w:ind w:right="111"/>
              <w:spacing w:after="0"/>
              <w:rPr>
                <w:sz w:val="20"/>
                <w:szCs w:val="20"/>
                <w:color w:val="auto"/>
              </w:rPr>
            </w:pPr>
            <w:r>
              <w:rPr>
                <w:rFonts w:ascii="Arial" w:cs="Arial" w:eastAsia="Arial" w:hAnsi="Arial"/>
                <w:sz w:val="18"/>
                <w:szCs w:val="18"/>
                <w:color w:val="auto"/>
              </w:rPr>
              <w:t>(0.1)</w:t>
            </w:r>
          </w:p>
        </w:tc>
        <w:tc>
          <w:tcPr>
            <w:tcW w:w="1660" w:type="dxa"/>
            <w:vAlign w:val="bottom"/>
            <w:gridSpan w:val="2"/>
          </w:tcPr>
          <w:p>
            <w:pPr>
              <w:jc w:val="right"/>
              <w:ind w:right="9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(0.1)</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5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(21.1)</w:t>
            </w:r>
          </w:p>
        </w:tc>
        <w:tc>
          <w:tcPr>
            <w:tcW w:w="16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(25.8)</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58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0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0.2</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Year Ended December 31, 2013</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Net revenues</w:t>
      </w:r>
      <w:r>
        <w:rPr>
          <w:rFonts w:ascii="Arial" w:cs="Arial" w:eastAsia="Arial" w:hAnsi="Arial"/>
          <w:sz w:val="16"/>
          <w:szCs w:val="16"/>
          <w:color w:val="auto"/>
        </w:rPr>
        <w:t>. Net revenues were approximately $185.2 million during 2014, a decrease of approximately $149.8 million or 44.7% compared to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our operating loss improved by 17.7% from $43.2 million in 2013 to $35.6 million in 2014.</w:t>
      </w:r>
    </w:p>
    <w:p>
      <w:pPr>
        <w:spacing w:after="0" w:line="76"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years ended December 31, 2014 and 2013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00" w:type="dxa"/>
            <w:vAlign w:val="bottom"/>
            <w:gridSpan w:val="8"/>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5"/>
          </w:tcPr>
          <w:p>
            <w:pPr>
              <w:ind w:left="74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3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Net revenues by reportable segment:</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20" w:type="dxa"/>
            <w:vAlign w:val="bottom"/>
            <w:gridSpan w:val="4"/>
          </w:tcPr>
          <w:p>
            <w:pPr>
              <w:ind w:left="40"/>
              <w:spacing w:after="0"/>
              <w:rPr>
                <w:sz w:val="20"/>
                <w:szCs w:val="20"/>
                <w:color w:val="auto"/>
              </w:rPr>
            </w:pPr>
            <w:r>
              <w:rPr>
                <w:rFonts w:ascii="Arial" w:cs="Arial" w:eastAsia="Arial" w:hAnsi="Arial"/>
                <w:sz w:val="18"/>
                <w:szCs w:val="18"/>
                <w:color w:val="auto"/>
              </w:rPr>
              <w:t>Mobile Computing Products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145,500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297,499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(151,999)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M2M Products and Solutions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39,745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37,554</w:t>
            </w: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2,191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22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185,245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335,053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Borders>
              <w:right w:val="single" w:sz="8" w:color="FFF7C3"/>
            </w:tcBorders>
            <w:shd w:val="clear" w:color="auto" w:fill="FFF7C3"/>
          </w:tcPr>
          <w:p>
            <w:pPr>
              <w:spacing w:after="0"/>
              <w:rPr>
                <w:sz w:val="14"/>
                <w:szCs w:val="14"/>
                <w:color w:val="auto"/>
              </w:rPr>
            </w:pP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8"/>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5"/>
            <w:vMerge w:val="restart"/>
          </w:tcPr>
          <w:p>
            <w:pPr>
              <w:ind w:left="780"/>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9"/>
        </w:trPr>
        <w:tc>
          <w:tcPr>
            <w:tcW w:w="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5"/>
            <w:vMerge w:val="continue"/>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3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CCEEFF"/>
            </w:tcBorders>
          </w:tcPr>
          <w:p>
            <w:pPr>
              <w:spacing w:after="0"/>
              <w:rPr>
                <w:sz w:val="22"/>
                <w:szCs w:val="22"/>
                <w:color w:val="auto"/>
              </w:rPr>
            </w:pPr>
          </w:p>
        </w:tc>
        <w:tc>
          <w:tcPr>
            <w:tcW w:w="4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2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Net revenues by product categories:</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7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3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20" w:type="dxa"/>
            <w:vAlign w:val="bottom"/>
            <w:gridSpan w:val="4"/>
          </w:tcPr>
          <w:p>
            <w:pPr>
              <w:ind w:left="40"/>
              <w:spacing w:after="0"/>
              <w:rPr>
                <w:sz w:val="20"/>
                <w:szCs w:val="20"/>
                <w:color w:val="auto"/>
              </w:rPr>
            </w:pPr>
            <w:r>
              <w:rPr>
                <w:rFonts w:ascii="Arial" w:cs="Arial" w:eastAsia="Arial" w:hAnsi="Arial"/>
                <w:sz w:val="18"/>
                <w:szCs w:val="18"/>
                <w:color w:val="auto"/>
              </w:rPr>
              <w:t>Mobile Broadband Devices</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143,309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277,415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(134,106)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Embedded Solutions</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5220" w:type="dxa"/>
            <w:vAlign w:val="bottom"/>
            <w:gridSpan w:val="4"/>
          </w:tcPr>
          <w:p>
            <w:pPr>
              <w:ind w:left="40"/>
              <w:spacing w:after="0"/>
              <w:rPr>
                <w:sz w:val="20"/>
                <w:szCs w:val="20"/>
                <w:color w:val="auto"/>
              </w:rPr>
            </w:pPr>
            <w:r>
              <w:rPr>
                <w:rFonts w:ascii="Arial" w:cs="Arial" w:eastAsia="Arial" w:hAnsi="Arial"/>
                <w:sz w:val="18"/>
                <w:szCs w:val="18"/>
                <w:color w:val="auto"/>
              </w:rPr>
              <w:t>Asset Management Solutions and Services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20,949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0.2 %</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185,245</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335,053</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(149,808)</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i w:val="1"/>
          <w:iCs w:val="1"/>
          <w:color w:val="auto"/>
        </w:rPr>
        <w:t xml:space="preserve">Mobile Computing Products. </w:t>
      </w:r>
      <w:r>
        <w:rPr>
          <w:rFonts w:ascii="Arial" w:cs="Arial" w:eastAsia="Arial" w:hAnsi="Arial"/>
          <w:sz w:val="16"/>
          <w:szCs w:val="16"/>
          <w:color w:val="auto"/>
        </w:rPr>
        <w:t>Net revenues from our Mobile Computing Products segment for the year ended December 31, 2014 were $145.5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$152.0 million or 51.1% compared to the same period in 2013. The decrease is primarily attributable to legacy products reaching their end of their life cycle . Revenues for this segment increased sequentially in the third and fourth quarters primarily as a result of the launch of the MiFi 6620L during the latter part of the third quarter of 2014, and we expect to increase revenues from Mobile Computing Products throughout 2015 as compared to 2014.</w:t>
      </w:r>
    </w:p>
    <w:p>
      <w:pPr>
        <w:spacing w:after="0" w:line="46"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year ended December 31, 2014 were $39.7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$2.2 million, or 5.8%, compared to the same period in 2013. The increase is primarily due to increased adoption of our new M2M products. We expect to increase revenues from M2M Products and Solutions throughout 2015 as compared to 2014.</w:t>
      </w:r>
    </w:p>
    <w:p>
      <w:pPr>
        <w:spacing w:after="0" w:line="46"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i w:val="1"/>
          <w:iCs w:val="1"/>
          <w:color w:val="auto"/>
        </w:rPr>
        <w:t xml:space="preserve">Product Categories. </w:t>
      </w:r>
      <w:r>
        <w:rPr>
          <w:rFonts w:ascii="Arial" w:cs="Arial" w:eastAsia="Arial" w:hAnsi="Arial"/>
          <w:sz w:val="18"/>
          <w:szCs w:val="18"/>
          <w:color w:val="auto"/>
        </w:rPr>
        <w:t>We have categorized the combined product portfolios of the mobile computing and M2M businesses into three categories (i)</w:t>
      </w:r>
      <w:r>
        <w:rPr>
          <w:rFonts w:ascii="Arial" w:cs="Arial" w:eastAsia="Arial" w:hAnsi="Arial"/>
          <w:sz w:val="18"/>
          <w:szCs w:val="18"/>
          <w:i w:val="1"/>
          <w:iCs w:val="1"/>
          <w:color w:val="auto"/>
        </w:rPr>
        <w:t xml:space="preserve"> </w:t>
      </w:r>
      <w:r>
        <w:rPr>
          <w:rFonts w:ascii="Arial" w:cs="Arial" w:eastAsia="Arial" w:hAnsi="Arial"/>
          <w:sz w:val="18"/>
          <w:szCs w:val="18"/>
          <w:color w:val="auto"/>
        </w:rPr>
        <w:t>Mobile Broadband Devices, (ii) Embedded Solutions and (iii) Asset Management Solutions and Services. These categories were established due to the different markets and sales channels served. We believe this product categorization facilitates the analysis of our operating trends and enhances our segment disclosures.</w:t>
      </w:r>
    </w:p>
    <w:p>
      <w:pPr>
        <w:spacing w:after="0" w:line="52" w:lineRule="exact"/>
        <w:rPr>
          <w:sz w:val="20"/>
          <w:szCs w:val="20"/>
          <w:color w:val="auto"/>
        </w:rPr>
      </w:pPr>
    </w:p>
    <w:p>
      <w:pPr>
        <w:ind w:right="200" w:firstLine="432"/>
        <w:spacing w:after="0" w:line="334" w:lineRule="auto"/>
        <w:rPr>
          <w:sz w:val="20"/>
          <w:szCs w:val="20"/>
          <w:color w:val="auto"/>
        </w:rPr>
      </w:pPr>
      <w:r>
        <w:rPr>
          <w:rFonts w:ascii="Arial" w:cs="Arial" w:eastAsia="Arial" w:hAnsi="Arial"/>
          <w:sz w:val="16"/>
          <w:szCs w:val="16"/>
          <w:color w:val="auto"/>
        </w:rPr>
        <w:t>The Mobile Broadband Devices category includes all external data modems including MiFi Intelligent Hotspots and USB modems. These devices are sold primarily through wireless operator enterprise and retail channels, telecommunications equipment distributors and consumer retail chains.</w:t>
      </w:r>
    </w:p>
    <w:p>
      <w:pPr>
        <w:spacing w:after="0" w:line="1"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The Embedded Solutions product category includes M2M modules sold to manufacturers of various asset tracking and monitoring products. Our products are sold directly to OEMs or through distributor channels.</w:t>
      </w:r>
    </w:p>
    <w:p>
      <w:pPr>
        <w:spacing w:after="0" w:line="35"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Asset Management Solutions and Services are mobile intelligent wireless broadband terminal devices and N4A DM and/or N4A CMS software which transmit information about the assets into which these products are integrated. These hardware and software products can be bundled or sold separately.</w:t>
      </w:r>
    </w:p>
    <w:p>
      <w:pPr>
        <w:spacing w:after="0" w:line="70" w:lineRule="exact"/>
        <w:rPr>
          <w:sz w:val="20"/>
          <w:szCs w:val="20"/>
          <w:color w:val="auto"/>
        </w:rPr>
      </w:pPr>
    </w:p>
    <w:p>
      <w:pPr>
        <w:jc w:val="both"/>
        <w:ind w:right="4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2014 was approximately $148.2 million, or 80.0%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$266.8 million, or 79.6% of net revenues in 2013. Cost of net revenues declined in 2014 due to the corresponding decline in revenues described above.</w:t>
      </w:r>
    </w:p>
    <w:p>
      <w:pPr>
        <w:spacing w:after="0" w:line="127" w:lineRule="exact"/>
        <w:rPr>
          <w:sz w:val="20"/>
          <w:szCs w:val="20"/>
          <w:color w:val="auto"/>
        </w:rPr>
      </w:pPr>
    </w:p>
    <w:p>
      <w:pPr>
        <w:ind w:right="40" w:firstLine="432"/>
        <w:spacing w:after="0" w:line="286"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Gross profit for the year ended December 31, 2014 was approximately $37.0 million, or 20.0% of net revenues, as compared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$68.3 million, or 20.4% of net revenues, in 2013. While our gross profit percentage was relatively flat in 2014 as compared to 2013, we expect that our gross profit percentage will increase throughout 2015 based on expected increased sales from our newer, higher margin products.</w:t>
      </w:r>
    </w:p>
    <w:p>
      <w:pPr>
        <w:spacing w:after="0" w:line="11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2014 were approximately $34.3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18.5% of net revenues, compared to approximately $48.2 million, or 14.4% of net revenues in 2013. Research and development expenses for the year ended December 31, 2014 were lower as compared to the same period in 2013 primarily due to reduced labor costs attributed to headcount reductions and lower outside service costs and depreciation expenses.</w:t>
      </w:r>
    </w:p>
    <w:p>
      <w:pPr>
        <w:spacing w:after="0" w:line="52"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believe that focused investments in research and development are critical to our future growth and competitive position in the marketplace and are directly related to timely development of new and enhanced products that are central to our core business strategy. As such, we expect to make further investments in research and development to remain competitive.</w:t>
      </w:r>
    </w:p>
    <w:p>
      <w:pPr>
        <w:spacing w:after="0" w:line="46"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Research and development expenses as a percentage of net revenues are expected to fluctuate in future periods depending on the amount of revenue recognized, and potential variation in the costs associated with the development of our products, including the number and complexity of the products under development and the progress of the development activities with respect to those products.</w:t>
      </w:r>
    </w:p>
    <w:p>
      <w:pPr>
        <w:spacing w:after="0" w:line="127"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2014 were approximately $13.8 million, or 7.4%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approximately $20.9 million, or 6.2% of net revenues, in 2013. Sales and marketing expenses were lower as compared to the same period in 2013, primarily due to headcount reductions, resulting in a decrease in salaries and related expenditures and share-based compensation expenses.</w:t>
      </w:r>
    </w:p>
    <w:p>
      <w:pPr>
        <w:spacing w:after="0" w:line="12" w:lineRule="exact"/>
        <w:rPr>
          <w:sz w:val="20"/>
          <w:szCs w:val="20"/>
          <w:color w:val="auto"/>
        </w:rPr>
      </w:pPr>
    </w:p>
    <w:p>
      <w:pPr>
        <w:ind w:right="220" w:firstLine="432"/>
        <w:spacing w:after="0" w:line="308" w:lineRule="auto"/>
        <w:rPr>
          <w:sz w:val="20"/>
          <w:szCs w:val="20"/>
          <w:color w:val="auto"/>
        </w:rPr>
      </w:pPr>
      <w:r>
        <w:rPr>
          <w:rFonts w:ascii="Arial" w:cs="Arial" w:eastAsia="Arial" w:hAnsi="Arial"/>
          <w:sz w:val="17"/>
          <w:szCs w:val="17"/>
          <w:color w:val="auto"/>
        </w:rPr>
        <w:t>While managing sales and marketing expenses relative to net revenues, we expect to continue to make selected investments in sales and marketing as we introduce new products, market existing products, expand our distribution channels and focus on key customers around the world.</w:t>
      </w:r>
    </w:p>
    <w:p>
      <w:pPr>
        <w:spacing w:after="0" w:line="9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for the year ended December 31, 2014 were approximately $15.4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8.3% of net revenues, compared to approximately $24.2 million, or 7.2% of net revenues,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2013. The decrease in general and administrative expenses was due primarily to lower legal and professional fees coupled with lower salaries and related expenditures attributed to headcount reductions, and decreased share-based compensation expense.</w:t>
      </w:r>
    </w:p>
    <w:p>
      <w:pPr>
        <w:spacing w:after="0" w:line="112" w:lineRule="exact"/>
        <w:rPr>
          <w:sz w:val="20"/>
          <w:szCs w:val="20"/>
          <w:color w:val="auto"/>
        </w:rPr>
      </w:pPr>
    </w:p>
    <w:p>
      <w:pPr>
        <w:ind w:right="1080" w:firstLine="432"/>
        <w:spacing w:after="0" w:line="282"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 ended December 31, 2014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$562,000, the same as in 2013.</w:t>
      </w:r>
    </w:p>
    <w:p>
      <w:pPr>
        <w:spacing w:after="0" w:line="112"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b w:val="1"/>
          <w:bCs w:val="1"/>
          <w:i w:val="1"/>
          <w:iCs w:val="1"/>
          <w:color w:val="auto"/>
        </w:rPr>
        <w:t xml:space="preserve">Shareholder litigation loss. </w:t>
      </w:r>
      <w:r>
        <w:rPr>
          <w:rFonts w:ascii="Arial" w:cs="Arial" w:eastAsia="Arial" w:hAnsi="Arial"/>
          <w:sz w:val="18"/>
          <w:szCs w:val="18"/>
          <w:color w:val="auto"/>
        </w:rPr>
        <w:t>The loss for litigation for the year ended December 31, 2014 was $790,000 and related to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re Novatel Wireless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Securities Litigation </w:t>
      </w:r>
      <w:r>
        <w:rPr>
          <w:rFonts w:ascii="Arial" w:cs="Arial" w:eastAsia="Arial" w:hAnsi="Arial"/>
          <w:sz w:val="18"/>
          <w:szCs w:val="18"/>
          <w:color w:val="auto"/>
        </w:rPr>
        <w:t>described in Note 13, “Commitments and Contingencies” in the accompanying consolidated financial statements, compared to $14.3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2013.</w:t>
      </w:r>
    </w:p>
    <w:p>
      <w:pPr>
        <w:spacing w:after="0" w:line="127" w:lineRule="exact"/>
        <w:rPr>
          <w:sz w:val="20"/>
          <w:szCs w:val="20"/>
          <w:color w:val="auto"/>
        </w:rPr>
      </w:pPr>
    </w:p>
    <w:p>
      <w:pPr>
        <w:ind w:right="80" w:firstLine="432"/>
        <w:spacing w:after="0" w:line="297" w:lineRule="auto"/>
        <w:rPr>
          <w:sz w:val="20"/>
          <w:szCs w:val="20"/>
          <w:color w:val="auto"/>
        </w:rPr>
      </w:pPr>
      <w:r>
        <w:rPr>
          <w:rFonts w:ascii="Arial" w:cs="Arial" w:eastAsia="Arial" w:hAnsi="Arial"/>
          <w:sz w:val="16"/>
          <w:szCs w:val="16"/>
          <w:b w:val="1"/>
          <w:bCs w:val="1"/>
          <w:i w:val="1"/>
          <w:iCs w:val="1"/>
          <w:color w:val="auto"/>
        </w:rPr>
        <w:t xml:space="preserve">Restructuring charges. </w:t>
      </w:r>
      <w:r>
        <w:rPr>
          <w:rFonts w:ascii="Arial" w:cs="Arial" w:eastAsia="Arial" w:hAnsi="Arial"/>
          <w:sz w:val="16"/>
          <w:szCs w:val="16"/>
          <w:color w:val="auto"/>
        </w:rPr>
        <w:t>Restructuring expenses for the year ended December 31, 2014 were approximately $7.8 million compared to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$3.3 million in 2013. Restructuring charges for the year ended December 31, 2014 primarily consisted of severance costs and expenses related to the departure of our former Chief Executive Officer, including expenses relating to the accelerated vesting of restricted stock units and options, other severance costs and expenses incurred in connection with the reduction of our workforce, and facility exit costs. Restructuring charges for the year ended December 31, 2013 primarily consisted of severance costs incurred in connection with the reduction of our workforce and facility exit related costs.</w:t>
      </w:r>
    </w:p>
    <w:p>
      <w:pPr>
        <w:spacing w:after="0" w:line="104"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b w:val="1"/>
          <w:bCs w:val="1"/>
          <w:i w:val="1"/>
          <w:iCs w:val="1"/>
          <w:color w:val="auto"/>
        </w:rPr>
        <w:t xml:space="preserve">Change in fair value of warrant liability. </w:t>
      </w:r>
      <w:r>
        <w:rPr>
          <w:rFonts w:ascii="Arial" w:cs="Arial" w:eastAsia="Arial" w:hAnsi="Arial"/>
          <w:sz w:val="17"/>
          <w:szCs w:val="17"/>
          <w:color w:val="auto"/>
        </w:rPr>
        <w:t>During the year ended December 31, 2014, we incurred a non-cash loss of $3.3 million related to the fair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value measurement of the warrant that we issued in connection with the financing transaction that closed on September 8, 2014.</w:t>
      </w:r>
    </w:p>
    <w:p>
      <w:pPr>
        <w:spacing w:after="0" w:line="9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b w:val="1"/>
          <w:bCs w:val="1"/>
          <w:i w:val="1"/>
          <w:iCs w:val="1"/>
          <w:color w:val="auto"/>
        </w:rPr>
        <w:t xml:space="preserve">Interest income (expense), net. </w:t>
      </w:r>
      <w:r>
        <w:rPr>
          <w:rFonts w:ascii="Arial" w:cs="Arial" w:eastAsia="Arial" w:hAnsi="Arial"/>
          <w:sz w:val="18"/>
          <w:szCs w:val="18"/>
          <w:color w:val="auto"/>
        </w:rPr>
        <w:t>Interest expense, net, for the year ended December 31, 2014 was $85,000 as compared to interest income, net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$113,000 for the same period in 2013.</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year ended December 31, 2014 was $167,000 as compared to $222,000 for the same period in 2013.</w:t>
      </w:r>
    </w:p>
    <w:p>
      <w:pPr>
        <w:spacing w:after="0" w:line="194"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Income tax expense was approximately $124,000 for fiscal 2014, compared to $83,000 in 2013. The difference between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federal and state statutory combined benefit rate of 36% and our effective tax rate for 2014 is primarily due to a full valuation allowance on the Canadian-based deferred tax assets generated in 2014. The income tax expense for 2013 was primarily due to a full valuation allowance on the U.S.-based deferred tax assets generated in 2013.</w:t>
      </w:r>
    </w:p>
    <w:p>
      <w:pPr>
        <w:spacing w:after="0" w:line="133"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b w:val="1"/>
          <w:bCs w:val="1"/>
          <w:i w:val="1"/>
          <w:iCs w:val="1"/>
          <w:color w:val="auto"/>
        </w:rPr>
        <w:t xml:space="preserve">Beneficial conversion feature. </w:t>
      </w:r>
      <w:r>
        <w:rPr>
          <w:rFonts w:ascii="Arial" w:cs="Arial" w:eastAsia="Arial" w:hAnsi="Arial"/>
          <w:sz w:val="16"/>
          <w:szCs w:val="16"/>
          <w:color w:val="auto"/>
        </w:rPr>
        <w:t>For the year ended December 31, 2014, we recognized the fair value of an embedded beneficial conversion feature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$445,000 on the convertible Series C preferred shares issued in connection with the financing transaction that closed on September 8, 2014.</w:t>
      </w:r>
    </w:p>
    <w:p>
      <w:pPr>
        <w:spacing w:after="0" w:line="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 xml:space="preserve">Net loss. </w:t>
      </w:r>
      <w:r>
        <w:rPr>
          <w:rFonts w:ascii="Arial" w:cs="Arial" w:eastAsia="Arial" w:hAnsi="Arial"/>
          <w:sz w:val="17"/>
          <w:szCs w:val="17"/>
          <w:color w:val="auto"/>
        </w:rPr>
        <w:t>For the year ended December 31, 2014, we reported a net loss of approximately $39.7 million, as compared to net loss of approximately $43.4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2013. Net loss for the year ended December 31, 2014 was impacted by changes in net revenue and restructuring charges recognized during the year. Net loss for the year ended December 31, 2013 was significantly impacted by expenses associated with the shareholder litigation settlement of $14.3 million, accrued in the fourth quarter of 2013, and restructuring charges recognized during the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Net revenues</w:t>
      </w:r>
      <w:r>
        <w:rPr>
          <w:rFonts w:ascii="Arial" w:cs="Arial" w:eastAsia="Arial" w:hAnsi="Arial"/>
          <w:sz w:val="17"/>
          <w:szCs w:val="17"/>
          <w:color w:val="auto"/>
        </w:rPr>
        <w:t>. Net revenues were approximately $335.1 million during 2013, a decrease of approximately $9.2 million or 2.7% compared to 2012.</w:t>
      </w:r>
    </w:p>
    <w:p>
      <w:pPr>
        <w:spacing w:after="0" w:line="102"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The following table summarizes net revenues by reportable segment and product categories during the years ended December 31, 2013 and 2012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spacing w:after="0"/>
              <w:rPr>
                <w:sz w:val="22"/>
                <w:szCs w:val="22"/>
                <w:color w:val="auto"/>
              </w:rPr>
            </w:pPr>
          </w:p>
        </w:tc>
        <w:tc>
          <w:tcPr>
            <w:tcW w:w="4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89"/>
        </w:trPr>
        <w:tc>
          <w:tcPr>
            <w:tcW w:w="42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Net revenues by reportable segment:</w:t>
            </w:r>
          </w:p>
        </w:tc>
        <w:tc>
          <w:tcPr>
            <w:tcW w:w="4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800" w:type="dxa"/>
            <w:vAlign w:val="bottom"/>
            <w:tcBorders>
              <w:top w:val="single" w:sz="8" w:color="auto"/>
            </w:tcBorders>
            <w:shd w:val="clear" w:color="auto" w:fill="CCEEFF"/>
          </w:tcPr>
          <w:p>
            <w:pPr>
              <w:spacing w:after="0"/>
              <w:rPr>
                <w:sz w:val="5"/>
                <w:szCs w:val="5"/>
                <w:color w:val="auto"/>
              </w:rPr>
            </w:pPr>
          </w:p>
        </w:tc>
        <w:tc>
          <w:tcPr>
            <w:tcW w:w="1400" w:type="dxa"/>
            <w:vAlign w:val="bottom"/>
            <w:tcBorders>
              <w:top w:val="single" w:sz="8" w:color="CCEEFF"/>
            </w:tcBorders>
            <w:shd w:val="clear" w:color="auto" w:fill="CCEEFF"/>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Mobile Computing Products</w:t>
            </w:r>
          </w:p>
        </w:tc>
        <w:tc>
          <w:tcPr>
            <w:tcW w:w="4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297,499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312,508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M2M Products and Solutions</w:t>
            </w:r>
          </w:p>
        </w:tc>
        <w:tc>
          <w:tcPr>
            <w:tcW w:w="4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37,554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31,780</w:t>
            </w:r>
          </w:p>
        </w:tc>
        <w:tc>
          <w:tcPr>
            <w:tcW w:w="0" w:type="dxa"/>
            <w:vAlign w:val="bottom"/>
          </w:tcPr>
          <w:p>
            <w:pPr>
              <w:spacing w:after="0"/>
              <w:rPr>
                <w:sz w:val="1"/>
                <w:szCs w:val="1"/>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4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335,053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344,288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100" w:type="dxa"/>
            <w:vAlign w:val="bottom"/>
            <w:vMerge w:val="restart"/>
          </w:tcPr>
          <w:p>
            <w:pPr>
              <w:jc w:val="right"/>
              <w:ind w:right="2450"/>
              <w:spacing w:after="0"/>
              <w:rPr>
                <w:sz w:val="20"/>
                <w:szCs w:val="20"/>
                <w:color w:val="auto"/>
              </w:rPr>
            </w:pPr>
            <w:r>
              <w:rPr>
                <w:rFonts w:ascii="Arial" w:cs="Arial" w:eastAsia="Arial" w:hAnsi="Arial"/>
                <w:sz w:val="18"/>
                <w:szCs w:val="18"/>
                <w:color w:val="auto"/>
              </w:rPr>
              <w:t>29</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10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40" w:type="dxa"/>
            <w:vAlign w:val="bottom"/>
            <w:tcBorders>
              <w:bottom w:val="single" w:sz="8" w:color="CCEEFF"/>
            </w:tcBorders>
          </w:tcPr>
          <w:p>
            <w:pPr>
              <w:spacing w:after="0"/>
              <w:rPr>
                <w:sz w:val="22"/>
                <w:szCs w:val="22"/>
                <w:color w:val="auto"/>
              </w:rPr>
            </w:pPr>
          </w:p>
        </w:tc>
        <w:tc>
          <w:tcPr>
            <w:tcW w:w="2740" w:type="dxa"/>
            <w:vAlign w:val="bottom"/>
            <w:tcBorders>
              <w:bottom w:val="single" w:sz="8" w:color="CCEEFF"/>
            </w:tcBorders>
          </w:tcPr>
          <w:p>
            <w:pPr>
              <w:spacing w:after="0"/>
              <w:rPr>
                <w:sz w:val="22"/>
                <w:szCs w:val="22"/>
                <w:color w:val="auto"/>
              </w:rPr>
            </w:pPr>
          </w:p>
        </w:tc>
        <w:tc>
          <w:tcPr>
            <w:tcW w:w="55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189"/>
        </w:trPr>
        <w:tc>
          <w:tcPr>
            <w:tcW w:w="8340" w:type="dxa"/>
            <w:vAlign w:val="bottom"/>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Net revenues by product categories:</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740" w:type="dxa"/>
            <w:vAlign w:val="bottom"/>
            <w:tcBorders>
              <w:top w:val="single" w:sz="8" w:color="auto"/>
            </w:tcBorders>
            <w:shd w:val="clear" w:color="auto" w:fill="CCEEFF"/>
          </w:tcPr>
          <w:p>
            <w:pPr>
              <w:spacing w:after="0"/>
              <w:rPr>
                <w:sz w:val="5"/>
                <w:szCs w:val="5"/>
                <w:color w:val="auto"/>
              </w:rPr>
            </w:pPr>
          </w:p>
        </w:tc>
        <w:tc>
          <w:tcPr>
            <w:tcW w:w="556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Mobile Broadband Devices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277,415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287,572</w:t>
            </w:r>
          </w:p>
        </w:tc>
      </w:tr>
      <w:tr>
        <w:trPr>
          <w:trHeight w:val="27"/>
        </w:trPr>
        <w:tc>
          <w:tcPr>
            <w:tcW w:w="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Embedded Solutions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36,689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29,960</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Asset Management Solutions and Services</w:t>
            </w:r>
          </w:p>
        </w:tc>
        <w:tc>
          <w:tcPr>
            <w:tcW w:w="36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20,949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26,756</w:t>
            </w:r>
          </w:p>
        </w:tc>
      </w:tr>
      <w:tr>
        <w:trPr>
          <w:trHeight w:val="27"/>
        </w:trPr>
        <w:tc>
          <w:tcPr>
            <w:tcW w:w="40" w:type="dxa"/>
            <w:vAlign w:val="bottom"/>
            <w:tcBorders>
              <w:bottom w:val="single" w:sz="8" w:color="CCEEFF"/>
            </w:tcBorders>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335,053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344,288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5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firstLine="432"/>
        <w:spacing w:after="0" w:line="286" w:lineRule="auto"/>
        <w:rPr>
          <w:sz w:val="20"/>
          <w:szCs w:val="20"/>
          <w:color w:val="auto"/>
        </w:rPr>
      </w:pPr>
      <w:r>
        <w:rPr>
          <w:rFonts w:ascii="Arial" w:cs="Arial" w:eastAsia="Arial" w:hAnsi="Arial"/>
          <w:sz w:val="17"/>
          <w:szCs w:val="17"/>
          <w:i w:val="1"/>
          <w:iCs w:val="1"/>
          <w:color w:val="auto"/>
        </w:rPr>
        <w:t xml:space="preserve">Mobile Computing Products. </w:t>
      </w:r>
      <w:r>
        <w:rPr>
          <w:rFonts w:ascii="Arial" w:cs="Arial" w:eastAsia="Arial" w:hAnsi="Arial"/>
          <w:sz w:val="17"/>
          <w:szCs w:val="17"/>
          <w:color w:val="auto"/>
        </w:rPr>
        <w:t>Net revenues from our Mobile Computing Products segment for the year ended December 31, 2013 were $297.5 million,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of $15.0 million or 4.8% compared to the same period in 2012. The decrease is primarily attributable to lower sales of Mobile Broadband devices caused by increased market competition at our largest customer and lower average sales prices during the period.</w:t>
      </w:r>
    </w:p>
    <w:p>
      <w:pPr>
        <w:spacing w:after="0" w:line="111"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i w:val="1"/>
          <w:iCs w:val="1"/>
          <w:color w:val="auto"/>
        </w:rPr>
        <w:t xml:space="preserve">M2M Products and Solutions. </w:t>
      </w:r>
      <w:r>
        <w:rPr>
          <w:rFonts w:ascii="Arial" w:cs="Arial" w:eastAsia="Arial" w:hAnsi="Arial"/>
          <w:sz w:val="18"/>
          <w:szCs w:val="18"/>
          <w:color w:val="auto"/>
        </w:rPr>
        <w:t>Net revenues from our M2M Products and Solutions segment for the year ended December 31, 2013 were $37.6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$5.8 million or 18.2% compared to the same period in 2012. The increase is primarily due to increased sales of our HS3001 module launched in the first quarter of 2013.</w:t>
      </w:r>
    </w:p>
    <w:p>
      <w:pPr>
        <w:spacing w:after="0" w:line="127"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Cost of net revenues. </w:t>
      </w:r>
      <w:r>
        <w:rPr>
          <w:rFonts w:ascii="Arial" w:cs="Arial" w:eastAsia="Arial" w:hAnsi="Arial"/>
          <w:sz w:val="18"/>
          <w:szCs w:val="18"/>
          <w:color w:val="auto"/>
        </w:rPr>
        <w:t>Cost of net revenues for the year ended December 31, 2013 was approximately $266.8 million, or 79.6% of net revenues,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$271.8 million, or 79.0% of net revenues in 2012.</w:t>
      </w:r>
    </w:p>
    <w:p>
      <w:pPr>
        <w:spacing w:after="0" w:line="116"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year ended December 31, 2013 was approximately $68.3 million, or 20.4% of net revenues,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$72.4 million, or 21.0% of net revenues in 2012. The gross profit percentage decrease compared to the same period in 2012 was primarily attributable to the changes in net revenues.</w:t>
      </w:r>
    </w:p>
    <w:p>
      <w:pPr>
        <w:spacing w:after="0" w:line="127"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expenses. </w:t>
      </w:r>
      <w:r>
        <w:rPr>
          <w:rFonts w:ascii="Arial" w:cs="Arial" w:eastAsia="Arial" w:hAnsi="Arial"/>
          <w:sz w:val="18"/>
          <w:szCs w:val="18"/>
          <w:color w:val="auto"/>
        </w:rPr>
        <w:t>Research and development expenses for the year ended December 31, 2013 were approximately $48.2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14.4% of net revenues, compared to approximately $60.4 million, or 17.5% of net revenues in 2012. Research and development expenses for the year ended December 31, 2013 were lower as compared to the same period in 2012 due to reduced labor cost attributed to headcount reductions, as well as lower share-based compensation expense.</w:t>
      </w:r>
    </w:p>
    <w:p>
      <w:pPr>
        <w:spacing w:after="0" w:line="133"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b w:val="1"/>
          <w:bCs w:val="1"/>
          <w:i w:val="1"/>
          <w:iCs w:val="1"/>
          <w:color w:val="auto"/>
        </w:rPr>
        <w:t xml:space="preserve">Sales and marketing expenses. </w:t>
      </w:r>
      <w:r>
        <w:rPr>
          <w:rFonts w:ascii="Arial" w:cs="Arial" w:eastAsia="Arial" w:hAnsi="Arial"/>
          <w:sz w:val="16"/>
          <w:szCs w:val="16"/>
          <w:color w:val="auto"/>
        </w:rPr>
        <w:t>Sales and marketing expenses for the year ended December 31, 2013 were approximately $20.9 million, or 6.2% of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revenues, compared to approximately $27.5 million or 8.0% of net revenues in 2012. Sales and marketing expenses were lower as compared to the same period in 2012, primarily due to headcount reductions, resulting in a decrease in salaries and related expenditures and share-based compensation expenses.</w:t>
      </w:r>
    </w:p>
    <w:p>
      <w:pPr>
        <w:spacing w:after="0" w:line="93" w:lineRule="exact"/>
        <w:rPr>
          <w:sz w:val="20"/>
          <w:szCs w:val="20"/>
          <w:color w:val="auto"/>
        </w:rPr>
      </w:pPr>
    </w:p>
    <w:p>
      <w:pPr>
        <w:jc w:val="both"/>
        <w:ind w:right="140" w:firstLine="432"/>
        <w:spacing w:after="0" w:line="279"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for the year ended December 31, 2013 were approximately $24.2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7.2% of net revenues, compared to approximately $22.7 million, or 6.6% of net revenues in 2012. The increase was due primarily to litigation settlements reached during the year, as well as increased legal fees and an increase to our allowance for doubtful accounts receivable, partially offset by reduced salaries and related expenditures attributed to headcount reductions and decreased share-based compensation expense.</w:t>
      </w:r>
    </w:p>
    <w:p>
      <w:pPr>
        <w:spacing w:after="0" w:line="117"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b w:val="1"/>
          <w:bCs w:val="1"/>
          <w:i w:val="1"/>
          <w:iCs w:val="1"/>
          <w:color w:val="auto"/>
        </w:rPr>
        <w:t xml:space="preserve">Goodwill and intangible assets impairments. </w:t>
      </w:r>
      <w:r>
        <w:rPr>
          <w:rFonts w:ascii="Arial" w:cs="Arial" w:eastAsia="Arial" w:hAnsi="Arial"/>
          <w:sz w:val="16"/>
          <w:szCs w:val="16"/>
          <w:color w:val="auto"/>
        </w:rPr>
        <w:t>No impairments were recorded during the year ended December 31, 2013. During the first and third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quarters of 2012, based on actual operating results, and reductions in management’s estimates of forecasted operating results of the M2M Products and Solutions reporting unit principally due to an updated view of competitive pressures impacting average selling prices and forecasted sales volumes, customer product and technology selections, and the loss of certain customers, we determined there were sufficient indicators of impairment present to require an interim impairment analysis. Based on the fair value tests performed during the first quarter of 2012, we recorded a pre-tax goodwill impairment charge of $6.6 million and a purchased intangible asset charge of $22.8 million. Based on the fair value tests performed during the third quarter of 2012, we recorded a preliminary pre-tax goodwill impairment charge of $13.2 million and a preliminary purchased intangible asset charge of $7.3 million. During the fourth quarter of 2012, we completed the third quarter impairment analysis and reduced the purchased intangible asset impairment by $300,000.</w:t>
      </w:r>
    </w:p>
    <w:p>
      <w:pPr>
        <w:spacing w:after="0" w:line="108" w:lineRule="exact"/>
        <w:rPr>
          <w:sz w:val="20"/>
          <w:szCs w:val="20"/>
          <w:color w:val="auto"/>
        </w:rPr>
      </w:pPr>
    </w:p>
    <w:p>
      <w:pPr>
        <w:ind w:right="180" w:firstLine="432"/>
        <w:spacing w:after="0" w:line="266" w:lineRule="auto"/>
        <w:rPr>
          <w:sz w:val="20"/>
          <w:szCs w:val="20"/>
          <w:color w:val="auto"/>
        </w:rPr>
      </w:pPr>
      <w:r>
        <w:rPr>
          <w:rFonts w:ascii="Arial" w:cs="Arial" w:eastAsia="Arial" w:hAnsi="Arial"/>
          <w:sz w:val="18"/>
          <w:szCs w:val="18"/>
          <w:b w:val="1"/>
          <w:bCs w:val="1"/>
          <w:i w:val="1"/>
          <w:iCs w:val="1"/>
          <w:color w:val="auto"/>
        </w:rPr>
        <w:t>Amortization of purchased intangible assets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amortization of purchased intangible assets for the year ended December 31, 2013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$562,000, compared to approximately $1.1 million in 2012. The decrease in amortization expense was due to the lower net asset value of the intangible assets resulting from impairment charges in the first and third quarters of 2012.</w:t>
      </w:r>
    </w:p>
    <w:p>
      <w:pPr>
        <w:spacing w:after="0" w:line="126"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b w:val="1"/>
          <w:bCs w:val="1"/>
          <w:i w:val="1"/>
          <w:iCs w:val="1"/>
          <w:color w:val="auto"/>
        </w:rPr>
        <w:t xml:space="preserve">Shareholder litigation loss. </w:t>
      </w:r>
      <w:r>
        <w:rPr>
          <w:rFonts w:ascii="Arial" w:cs="Arial" w:eastAsia="Arial" w:hAnsi="Arial"/>
          <w:sz w:val="16"/>
          <w:szCs w:val="16"/>
          <w:color w:val="auto"/>
        </w:rPr>
        <w:t>The contingent loss for litigation for the year ended December 31, 2013 was $14.3 million related to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 re Novatel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Wireless Securities Litigation </w:t>
      </w:r>
      <w:r>
        <w:rPr>
          <w:rFonts w:ascii="Arial" w:cs="Arial" w:eastAsia="Arial" w:hAnsi="Arial"/>
          <w:sz w:val="16"/>
          <w:szCs w:val="16"/>
          <w:color w:val="auto"/>
        </w:rPr>
        <w:t>described in Note 13, “Commitments and Contingencies” in the accompanying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expenses for the year ended December 31, 2013 were $3.3 million, and predominantly consisted of severance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incurred in connection with the reduction of our workforce and facility exit related costs. In September 2013, We commenced certain restructuring initiatives, including the closure of our development site in Calgary, Canada, and the consolidation of certain supply chain management activities, resulting in a reduction in force of 72 employees across all functional areas of the Company.</w:t>
      </w:r>
    </w:p>
    <w:p>
      <w:pPr>
        <w:spacing w:after="0" w:line="133"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year ended December 31, 2013 was $113,000 as compared to $291,000 for the same period in 2012.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net interest income during 2013 and 2012 was primarily related to interest earned on our marketable securities. The decrease in our interest income during 2013 was primarily related to the decrease in net asset values of our marketable securities compared to the same period in 2012.</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 xml:space="preserve">Other expense, net. </w:t>
      </w:r>
      <w:r>
        <w:rPr>
          <w:rFonts w:ascii="Arial" w:cs="Arial" w:eastAsia="Arial" w:hAnsi="Arial"/>
          <w:sz w:val="16"/>
          <w:szCs w:val="16"/>
          <w:color w:val="auto"/>
        </w:rPr>
        <w:t>Other expense, net for the year ended December 31, 2013 was $222,000 as compared to $203,000 for the same period in 2012.</w:t>
      </w:r>
    </w:p>
    <w:p>
      <w:pPr>
        <w:spacing w:after="0" w:line="1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was approximately $83,000 for fiscal 2013, compared to an expense of $611,000 in 2012. The difference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the federal and state statutory combined benefit rate of 36% and our effective tax rate for 2013 is primarily due to a full valuation allowance on the U.S.-based deferred tax assets generated in 2013. The income tax expense for 2012 was primarily due to a full valuation allowance on the U.S.-based deferred tax assets generated in 2012, and a $0.4 million expense related to an increase in our valuation allowance on the Canadian-based deferred tax assets.</w:t>
      </w:r>
    </w:p>
    <w:p>
      <w:pPr>
        <w:spacing w:after="0" w:line="100"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b w:val="1"/>
          <w:bCs w:val="1"/>
          <w:i w:val="1"/>
          <w:iCs w:val="1"/>
          <w:color w:val="auto"/>
        </w:rPr>
        <w:t xml:space="preserve">Net loss. </w:t>
      </w:r>
      <w:r>
        <w:rPr>
          <w:rFonts w:ascii="Arial" w:cs="Arial" w:eastAsia="Arial" w:hAnsi="Arial"/>
          <w:sz w:val="16"/>
          <w:szCs w:val="16"/>
          <w:color w:val="auto"/>
        </w:rPr>
        <w:t>For the year ended December 31, 2013, we reported a net loss of approximately $43.4 million, as compared to net loss of approximately $89.3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2012. Net loss for the year ended December 31, 2013 was significantly impacted by the shareholder litigation loss of $14.3 million. Net loss for the year ended December 31, 2012 was significantly impacted due to the impairment charges recognized in the first and third quarters of 2012.</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principal sources of liquidity are our existing cash and cash equivalents and cash generated from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Transaction</w:t>
      </w:r>
    </w:p>
    <w:p>
      <w:pPr>
        <w:spacing w:after="0" w:line="90"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On September 3, 2014, we entered into a Purchase Agreement with HC2 Holdings 2, Inc., a Delaware corporation (the “Investor”), pursuant to which, on September 8, 2014, we sold to the Investor (i) 7,363,334 shares of our common stock, par value $0.001 per share, (ii) the Warrant to purchase 4,117,647 shares of our common stock at an exercise price of $2.26 per share and (iii) 87,196 shares of our Series C Preferred Stock, all at a purchase price of (a) $1.75 per share of common stock plus, in each case, the related Warrant and (b) $17.50 per share of Series C Preferred Stock, for aggregate gross proceeds of approximately $14.4 million. As of December 31, 2014, all warrant shares remain unexercised.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7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October 31, 2014, we entered into a senior secured revolving credit facility with Wells Fargo Bank, National Association (the “Revolver”).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or the maximum revolver amount of $25.0 million, we would be required to repay such borrowings in an amount sufficient to eliminate such excess. The Revolver includes $3.0 million of availability for letters of credit. At December 31, 2014, the balance of the revolving credit facility was approximately $5.2 million and we had available borrowings of approximately $12.1 million. See Note 12 to our consolidated financial statements for a discussion of the Revolver.</w:t>
      </w:r>
    </w:p>
    <w:p>
      <w:pPr>
        <w:spacing w:after="0" w:line="135"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On November 19, 2014, we terminated our existing margin credit facility with one of the banks that held our marketable securities. Borrowings under this facility were collateralized by our cash and cash equivalents and marketable securities on deposit at the bank. During the twelve months ended December 31, 2014, we did not borrow against the facility and had no outstanding borrowings under this facility at December 31,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Cash and Cash Equivalents and Marketable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working capital, cash and cash equivalents and marketable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ind w:right="355"/>
              <w:spacing w:after="0" w:line="147" w:lineRule="exact"/>
              <w:rPr>
                <w:sz w:val="20"/>
                <w:szCs w:val="20"/>
                <w:color w:val="auto"/>
              </w:rPr>
            </w:pPr>
            <w:r>
              <w:rPr>
                <w:rFonts w:ascii="Arial" w:cs="Arial" w:eastAsia="Arial" w:hAnsi="Arial"/>
                <w:sz w:val="14"/>
                <w:szCs w:val="14"/>
                <w:b w:val="1"/>
                <w:bCs w:val="1"/>
                <w:color w:val="auto"/>
              </w:rPr>
              <w:t>Increase /</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0"/>
        </w:trPr>
        <w:tc>
          <w:tcPr>
            <w:tcW w:w="6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6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(1)</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29,397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40,928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17,853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14,942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marketable securities (2)(3)</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marketable securities</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 and marketable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17,853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is defined as the excess of current assets over current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Included in working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restricted marketable securities.</w:t>
      </w:r>
    </w:p>
    <w:p>
      <w:pPr>
        <w:spacing w:after="0" w:line="157"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Our decrease in working capital as of December 31, 2014 compared to December 31, 2013 was primarily due to losses from operations incurred, an investment in inventory and capital expenditures in 2014.</w:t>
      </w:r>
    </w:p>
    <w:p>
      <w:pPr>
        <w:spacing w:after="0" w:line="35"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 xml:space="preserve">As of December 31, 2014, our cash, cash equivalents and marketable securities decreased $5.1 million as compared to December 31, 2013, primarily due to $16.3 million of cash used in operating activities and capital expenditures of $1.8 million, partially offset by the net proceeds of $14.2 million received from the Investor in the financing transaction described above. See the discussion of market risk in Item 7A. </w:t>
      </w:r>
      <w:r>
        <w:rPr>
          <w:rFonts w:ascii="Arial" w:cs="Arial" w:eastAsia="Arial" w:hAnsi="Arial"/>
          <w:sz w:val="18"/>
          <w:szCs w:val="18"/>
          <w:i w:val="1"/>
          <w:iCs w:val="1"/>
          <w:color w:val="auto"/>
        </w:rPr>
        <w:t>Quantitative and Qualitative 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Market Risk.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consolidated statements of cash flows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Year Ended December 31,</w:t>
            </w:r>
          </w:p>
        </w:tc>
      </w:tr>
      <w:tr>
        <w:trPr>
          <w:trHeight w:val="161"/>
        </w:trPr>
        <w:tc>
          <w:tcPr>
            <w:tcW w:w="79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258"/>
        </w:trPr>
        <w:tc>
          <w:tcPr>
            <w:tcW w:w="7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r>
      <w:tr>
        <w:trPr>
          <w:trHeight w:val="250"/>
        </w:trPr>
        <w:tc>
          <w:tcPr>
            <w:tcW w:w="7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r>
      <w:tr>
        <w:trPr>
          <w:trHeight w:val="256"/>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(26,627)</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20,432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11,624</w:t>
            </w:r>
          </w:p>
        </w:tc>
      </w:tr>
      <w:tr>
        <w:trPr>
          <w:trHeight w:val="27"/>
        </w:trPr>
        <w:tc>
          <w:tcPr>
            <w:tcW w:w="7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10,908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2,014</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14,942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(13,133)</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2,911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16,044</w:t>
            </w:r>
          </w:p>
        </w:tc>
      </w:tr>
      <w:tr>
        <w:trPr>
          <w:trHeight w:val="27"/>
        </w:trPr>
        <w:tc>
          <w:tcPr>
            <w:tcW w:w="7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17,853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used in operating activities was $16.3 million for 2014 compared to $26.6 million of net cash used in 2013. Net cash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operating activities for the year ended December 31, 2014 was primarily attributable to the net losses incurred in 2014. Net cash used in operating activities for the year ended December 31, 2013 was primarily attributable to the net losses incurred in 2013 and the unfavorable working capital impacts of a $19.2 million reduction in accounts payable.</w:t>
      </w:r>
    </w:p>
    <w:p>
      <w:pPr>
        <w:spacing w:after="0" w:line="133"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provided by investing activities for 2014 was approximately $20.4 million compared to $11.6 million used in investing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in 2013. The net cash provided by investing activities in 2014 was primarily related to the net sales and maturities of our marketable securities of $22.6 million, partially offset by purchases of property and equipment of $1.8 million.</w:t>
      </w:r>
    </w:p>
    <w:p>
      <w:pPr>
        <w:spacing w:after="0" w:line="127" w:lineRule="exact"/>
        <w:rPr>
          <w:sz w:val="20"/>
          <w:szCs w:val="20"/>
          <w:color w:val="auto"/>
        </w:rPr>
      </w:pPr>
    </w:p>
    <w:p>
      <w:pPr>
        <w:ind w:right="220" w:firstLine="432"/>
        <w:spacing w:after="0" w:line="27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provided by financing activities for 2014 was $10.9 million, compared to net cash provided by financing activities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 million for 2013. Net cash provided by financing activities in 2014 was primarily related to proceeds received from the equity issued to the Investor in September 2014, partially offset by payments made in 2014 to settle our shareholder litigation. Net cash provided by financing activities in 2013 was primarily related to proceeds received from borrowing on our margin credit facility, partially offset by principal repayments on our margin credit facility borrowings, and payroll taxes paid on behalf of employees for restricted stock units which vested during the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and commercial commitments at December 31, 2014, and the effect such obligations could have on our liquidity and cash flow in future periods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Payments Due by Fiscal Year</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60" w:type="dxa"/>
            <w:vAlign w:val="bottom"/>
          </w:tcPr>
          <w:p>
            <w:pPr>
              <w:spacing w:after="0"/>
              <w:rPr>
                <w:sz w:val="22"/>
                <w:szCs w:val="22"/>
                <w:color w:val="auto"/>
              </w:rPr>
            </w:pPr>
          </w:p>
        </w:tc>
        <w:tc>
          <w:tcPr>
            <w:tcW w:w="880" w:type="dxa"/>
            <w:vAlign w:val="bottom"/>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7,120</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Committed purchase orders</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55,000</w:t>
            </w:r>
          </w:p>
        </w:tc>
      </w:tr>
      <w:tr>
        <w:trPr>
          <w:trHeight w:val="27"/>
        </w:trPr>
        <w:tc>
          <w:tcPr>
            <w:tcW w:w="2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57,744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62,120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Our liability for uncertain tax benefits, including interest, as of December 31, 2014 was $0, compared to approximately $61,000 as of December 31, 2013. The decrease was primarily due to the expiration of the applicable statutes of limitations for certain tax years. Our tax liability for uncertain tax benefits is not included in our table of contractual obligations and commercial commitments.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Liquidity Needs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have recently incurred operating losses and had a net loss of $39.7 million during the year ended December 31, 2014. As of December 31, 2014, we had available cash and cash equivalents totaling $17.9 million, and working capital of $29.4 million. We also have availability for borrowings under the Revolver. Borrowings under this facility are secured by a first priority lien on substantially all of our assets and the assets of certain of our subsidiaries, subject to certain exceptions and permitted liens. During the twelve months ended December 31, 2014, we borrowed $5.2 million against the revolving credit facility and had available borrowings of approximately $12.1 million.</w:t>
      </w:r>
    </w:p>
    <w:p>
      <w:pPr>
        <w:spacing w:after="0" w:line="5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Our ability to transition to attaining profitable operations is dependent upon achieving a level of revenues adequate to support our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We believe that our cash and cash equivalents and our availability under the Revolver, together with anticipated cash flows from operations, will be sufficient to meet our working capital needs for the next twelve months.</w:t>
      </w:r>
    </w:p>
    <w:p>
      <w:pPr>
        <w:spacing w:after="0" w:line="5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Our liquidity could be impaired if there is any interruption in our business operations, a material failure to satisfy our contractual commitments or a failure to generate revenue from new or existing products.</w:t>
      </w:r>
    </w:p>
    <w:p>
      <w:pPr>
        <w:spacing w:after="0" w:line="3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may raise additional funds to accelerate development of new and existing services and products, to respond to competitive pressures or to acquire complementary products, businesses or technologies. There can be no assurance that any required additional financing will be available on terms favorable to us, or at all. In addition, in order to obtain additional borrowings we must comply with certain requirements under the Revolver. If additional funds are raised by the issuance of equity securities, our shareholders could experience dilution of their ownership interests and securities issued may have rights senior to those of the holders of our common stock. If additional funds are raised by the issuance of debt securities, we may be subject to certain limitations on our operations. If adequate funds are not available or not available on acceptable terms, we may be unable to take advantage of acquisition opportunities, develop or enhance products or respond to competitive pressures, any of which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have any off-balance sheet arrangements that are material to our results of operations, financial conditions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fair value of warrant liability, accruals relating to litigation, restructuring, and retention bonus, provision for warranty costs, income taxes and share-based compensation expense.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Our revenue is principally generated from the sale of wireless modems to wireless operators, OEM customers and value added</w:t>
      </w:r>
      <w:r>
        <w:rPr>
          <w:rFonts w:ascii="Arial" w:cs="Arial" w:eastAsia="Arial" w:hAnsi="Arial"/>
          <w:sz w:val="16"/>
          <w:szCs w:val="16"/>
          <w:i w:val="1"/>
          <w:iCs w:val="1"/>
          <w:color w:val="auto"/>
        </w:rPr>
        <w:t xml:space="preserve"> </w:t>
      </w:r>
      <w:r>
        <w:rPr>
          <w:rFonts w:ascii="Arial" w:cs="Arial" w:eastAsia="Arial" w:hAnsi="Arial"/>
          <w:sz w:val="16"/>
          <w:szCs w:val="16"/>
          <w:color w:val="auto"/>
        </w:rPr>
        <w:t>resellers and distributors. In addition, we generate revenue from the sale of asset-management solutions utilizing wireless technology and M2M communication devices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3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Predominantly all of the revenues represent the sale of hardware with accompanied software that is essential to the functionality of the hardware. We record revenue associated with the agreed upon price on hardware sales, and accrues any estimated costs of post-delivery performance obligations, such as warranty obligations. We consider the four basic revenue recognition criteria discussed under Staff Accounting Bulletin No. 104 when assessing appropriate revenue recognition as follows:</w:t>
      </w:r>
    </w:p>
    <w:p>
      <w:pPr>
        <w:spacing w:after="0" w:line="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#1 — Persuasive evidence of an arrangement must exist;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#2 — Delivery has occurred;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#3 — Our price to the buyer must be fixed or determinable; and,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Criterion #4 — Collectability is reasonably assured.</w:t>
      </w:r>
    </w:p>
    <w:p>
      <w:pPr>
        <w:spacing w:after="0" w:line="76"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Under Accounting Standards Update 2009-13, in multiple element arrangements, the total consideration received from customers must be allocated to the elements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we have neither VSOE nor TPE, revenue has been based on our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43"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process for determining BESP for deliverables without VSOE or TPE considers multiple factors that may vary depending upon the unique facts and circumstances related to each deliverable. Our prices are determined based upon cost to produce our products, expected order quantities and acceptance in the marketplace. In addition, when developing BESPs for products, we may consider other factors as appropriate, including the pricing of competitive alternatives (if they exist) and product-specific business objectives.</w:t>
      </w:r>
    </w:p>
    <w:p>
      <w:pPr>
        <w:spacing w:after="0" w:line="52"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We account for multiple element arrangements that primarily consist of software licenses and post contract support (PCS) by recognizing revenue for such arrangements ratably over the term of the PCS as we have not established VSOE for the PCS element.</w:t>
      </w:r>
    </w:p>
    <w:p>
      <w:pPr>
        <w:spacing w:after="0" w:line="35"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For the years ended December 31, 2014, 2013, and 2012, we have not recorded any significant revenues from multiple element or software arrangements.</w:t>
      </w:r>
    </w:p>
    <w:p>
      <w:pPr>
        <w:spacing w:after="0" w:line="35"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i w:val="1"/>
          <w:iCs w:val="1"/>
          <w:color w:val="auto"/>
        </w:rPr>
        <w:t xml:space="preserve">Allowance for Doubtful Accounts Receivable. </w:t>
      </w:r>
      <w:r>
        <w:rPr>
          <w:rFonts w:ascii="Arial" w:cs="Arial" w:eastAsia="Arial" w:hAnsi="Arial"/>
          <w:sz w:val="18"/>
          <w:szCs w:val="18"/>
          <w:color w:val="auto"/>
        </w:rPr>
        <w:t>We provide an allowance for our accounts receivable for estimated losses that may result from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inability to pay. We determine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we review our customers’ credit-worthiness periodically based on credit scores generated by independent credit reporting services, our experience with our customers and the economic condition of our customers’ industries. Material differences may result in the amount and timing of expense for any period if we were to make different judgments or utilize different estimates. If the financial condition of our customers deteriorates resulting in an impairment of their ability to make payments, additional allowances may be required.</w:t>
      </w:r>
    </w:p>
    <w:p>
      <w:pPr>
        <w:spacing w:after="0" w:line="57"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i w:val="1"/>
          <w:iCs w:val="1"/>
          <w:color w:val="auto"/>
        </w:rPr>
        <w:t xml:space="preserve">Provision for Excess and Obsolete Inventory. </w:t>
      </w:r>
      <w:r>
        <w:rPr>
          <w:rFonts w:ascii="Arial" w:cs="Arial" w:eastAsia="Arial" w:hAnsi="Arial"/>
          <w:sz w:val="18"/>
          <w:szCs w:val="18"/>
          <w:color w:val="auto"/>
        </w:rPr>
        <w:t>Inventories are stated at the lower of cost (first-in, first-out method) or market. We review the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inventory and our inventory purchase commitments on a regular basis for excess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us or our customers that vary from our current expectations. Whenever inventory is written down, a new cost basis is established and the inventory is not subsequently written up if market conditions improve.</w:t>
      </w:r>
    </w:p>
    <w:p>
      <w:pPr>
        <w:spacing w:after="0" w:line="52"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We believe that, when made, the estimates we use in calculating the inventory provision are reasonable and properly reflect the risk of excess and obsolete inventory. If customer demand for our inventory is substantially less than our estimates, inventory write-downs may be required, which could have a material adverse effect on our consolidated financial statements.</w:t>
      </w:r>
    </w:p>
    <w:p>
      <w:pPr>
        <w:spacing w:after="0" w:line="46"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i w:val="1"/>
          <w:iCs w:val="1"/>
          <w:color w:val="auto"/>
        </w:rPr>
        <w:t xml:space="preserve">Provision for Warranty Costs. </w:t>
      </w:r>
      <w:r>
        <w:rPr>
          <w:rFonts w:ascii="Arial" w:cs="Arial" w:eastAsia="Arial" w:hAnsi="Arial"/>
          <w:sz w:val="17"/>
          <w:szCs w:val="17"/>
          <w:color w:val="auto"/>
        </w:rPr>
        <w:t>We accrue warranty costs based on estimates of future warranty related replacement, repairs or rework of products. Our</w:t>
      </w:r>
      <w:r>
        <w:rPr>
          <w:rFonts w:ascii="Arial" w:cs="Arial" w:eastAsia="Arial" w:hAnsi="Arial"/>
          <w:sz w:val="17"/>
          <w:szCs w:val="17"/>
          <w:i w:val="1"/>
          <w:iCs w:val="1"/>
          <w:color w:val="auto"/>
        </w:rPr>
        <w:t xml:space="preserve"> </w:t>
      </w:r>
      <w:r>
        <w:rPr>
          <w:rFonts w:ascii="Arial" w:cs="Arial" w:eastAsia="Arial" w:hAnsi="Arial"/>
          <w:sz w:val="17"/>
          <w:szCs w:val="17"/>
          <w:color w:val="auto"/>
        </w:rPr>
        <w:t>warranty policy generally provides between one and three years of coverage for products following the date of purchase. Our policy is to accrue the estimated cost of warranty coverage as a component of cost of revenue in the consolidated statements of operations at the time revenue is recognized. In estimating our future warranty obligations we consider various relevant factors, including the historical frequency and volume of claims, and the cost to replace or repair products under warranty. The warranty provision for our products is determined by using a financial model to estimate future warranty costs. Our financial model takes into consideration actual product failure rates; estimated replacement over the contractual warranty period,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44"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We actively engage in product improvement programs and processes to limit our warranty costs, but our warranty obligation is affected by the complexity of our product, product failure rates and costs incurred to correct those product failures. The industry in which we operate is subject to rapid technological change, and as a result, we periodically introduce newer, more complex products. Depending on the quality of our product design and manufacturing, actual product failure rates or actual warranty costs could be materially greater than our estimates, which could harm our financial condition and results of operations.</w:t>
      </w:r>
    </w:p>
    <w:p>
      <w:pPr>
        <w:spacing w:after="0" w:line="53"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i w:val="1"/>
          <w:iCs w:val="1"/>
          <w:color w:val="auto"/>
        </w:rPr>
        <w:t xml:space="preserve">Fair value of warrant liability. </w:t>
      </w:r>
      <w:r>
        <w:rPr>
          <w:rFonts w:ascii="Arial" w:cs="Arial" w:eastAsia="Arial" w:hAnsi="Arial"/>
          <w:sz w:val="17"/>
          <w:szCs w:val="17"/>
          <w:color w:val="auto"/>
        </w:rPr>
        <w:t>We evaluate stock options, stock warrants or other contracts to determine if those contracts or embedded components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those contracts qualify as derivative financial instruments to be separately accounted for under the relevant sections of Financial Accounting Standards Board (“FASB”) Accounting Standards Codification (“ASC”) 815-40, </w:t>
      </w:r>
      <w:r>
        <w:rPr>
          <w:rFonts w:ascii="Arial" w:cs="Arial" w:eastAsia="Arial" w:hAnsi="Arial"/>
          <w:sz w:val="17"/>
          <w:szCs w:val="17"/>
          <w:i w:val="1"/>
          <w:iCs w:val="1"/>
          <w:color w:val="auto"/>
        </w:rPr>
        <w:t>Derivative Instruments and Hedging: Contracts in Entity’s Own Equity</w:t>
      </w:r>
      <w:r>
        <w:rPr>
          <w:rFonts w:ascii="Arial" w:cs="Arial" w:eastAsia="Arial" w:hAnsi="Arial"/>
          <w:sz w:val="17"/>
          <w:szCs w:val="17"/>
          <w:color w:val="auto"/>
        </w:rPr>
        <w:t>.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43" w:lineRule="exact"/>
        <w:rPr>
          <w:sz w:val="20"/>
          <w:szCs w:val="20"/>
          <w:color w:val="auto"/>
        </w:rPr>
      </w:pPr>
    </w:p>
    <w:p>
      <w:pPr>
        <w:ind w:right="140" w:firstLine="432"/>
        <w:spacing w:after="0" w:line="302" w:lineRule="auto"/>
        <w:rPr>
          <w:sz w:val="20"/>
          <w:szCs w:val="20"/>
          <w:color w:val="auto"/>
        </w:rPr>
      </w:pPr>
      <w:r>
        <w:rPr>
          <w:rFonts w:ascii="Arial" w:cs="Arial" w:eastAsia="Arial" w:hAnsi="Arial"/>
          <w:sz w:val="16"/>
          <w:szCs w:val="16"/>
          <w:i w:val="1"/>
          <w:iCs w:val="1"/>
          <w:color w:val="auto"/>
        </w:rPr>
        <w:t xml:space="preserve">Litigation. </w:t>
      </w:r>
      <w:r>
        <w:rPr>
          <w:rFonts w:ascii="Arial" w:cs="Arial" w:eastAsia="Arial" w:hAnsi="Arial"/>
          <w:sz w:val="16"/>
          <w:szCs w:val="16"/>
          <w:color w:val="auto"/>
        </w:rPr>
        <w:t>We are currently involved in certain legal proceedings. We will record a loss when we determine information available prior to the issuance</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financial statements indicates the loss is both probable and estimable. Where a liability is probable and there is a range of estimated loss with no best estimate in the range, we record the minimum estimated liability related to the claim. As additional information becomes available, we assess the potential liability related to our pending litigation and revise our estimates, if necessary. Our policy is to expense litigation costs as incurred.</w:t>
      </w:r>
    </w:p>
    <w:p>
      <w:pPr>
        <w:spacing w:after="0" w:line="19"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Share-based Compensation Expense. </w:t>
      </w:r>
      <w:r>
        <w:rPr>
          <w:rFonts w:ascii="Arial" w:cs="Arial" w:eastAsia="Arial" w:hAnsi="Arial"/>
          <w:sz w:val="18"/>
          <w:szCs w:val="18"/>
          <w:color w:val="auto"/>
        </w:rPr>
        <w:t>We have stock incentive plans under which stock options and restricted stock units have been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non-employee members of our Board of Directors. We also have an employee stock purchase plan for all eligible employees. Share-based payments to employees, including grants of employee stock options, restricted stock units and employee stock purchase rights, are recognized in the financial statements based upon their respective grant date fair values.</w:t>
      </w:r>
    </w:p>
    <w:p>
      <w:pPr>
        <w:spacing w:after="0" w:line="52"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estimate the fair value of stock option awards and stock purchase rights on the date of grant using an option-pricing model. The value of the portion of the award that is ultimately expected to vest is principally recognized as expense ratably over the requisite service periods. We have estimated the fair value of stock options and stock purchase rights as of the date of grant or assumption using the Black-Scholes option pricing model, which was developed for use in estimating the value of traded options that have no vesting restrictions and that are freely transferable. The Black-Scholes model considers, among other factors, the expected life of the award and the expected volatility of our stock price. We evaluate the assumptions used to value stock options and stock purchase rights on a quarterly basis. Although the Black-Scholes model is an acceptable model, the fair values generated by the model may not be indicative of the actual fair values of our equity awards, as it does not consider other factors important to those awards to employees, such as continued employment, periodic vesting requirements and limited transferability.</w:t>
      </w:r>
    </w:p>
    <w:p>
      <w:pPr>
        <w:spacing w:after="0" w:line="4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our stock on the date of the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ind w:right="180" w:firstLine="432"/>
        <w:spacing w:after="0" w:line="273" w:lineRule="auto"/>
        <w:rPr>
          <w:sz w:val="20"/>
          <w:szCs w:val="20"/>
          <w:color w:val="auto"/>
        </w:rPr>
      </w:pPr>
      <w:r>
        <w:rPr>
          <w:rFonts w:ascii="Arial" w:cs="Arial" w:eastAsia="Arial" w:hAnsi="Arial"/>
          <w:sz w:val="17"/>
          <w:szCs w:val="17"/>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debt securities is subject to change as a result of changes in market interest rates and investment risk related to the issuers’ credit worthiness. At December 31, 2014, we had $17.9 million in cash and cash equivalents. Changes in market interest rates would not be expected to have a material impact on the fair value of our $2.1 million in cash equivalents at December 31, 2014, as these consisted of money market funds and certificates of deposit with the value of all of our cash equivalents determined based on “Level 1” and "Level 2" inputs, which consist of quoted prices in active markets for identical assets.</w:t>
      </w:r>
    </w:p>
    <w:p>
      <w:pPr>
        <w:spacing w:after="0" w:line="43"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As of December 31, 2014, we do not hold any debt securities nor do we utilize derivative instruments or other financial contracts to manage our exposure to changes in interest rates in our investment portfolio.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4"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maintain our cash and cash equivalents and our marketable debt securities, which include various security holdings, types and maturities, with a number of financial institutions. As of the date of this report, we have not identified any significant credit risk associated with any of the financial institutions that maintain our portfolio of cash and cash equivalents and our marketable securities. However,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53"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We place our cash investments in instruments that meet credit quality standards specified in our investment policy guidelines at the time the investments are made. At December 31, 2014, we have cash and cash equivalents of $17.9 million, all of which are stated at fair value. Changes in market interest rates would not be expected to have a material impact on the fair value of our $2.1 million in cash equivalents at December 31, 2014, as these consisted of money market funds and certificates of deposit with maturities of less than three months, with the value of all of our cash equivalents determined based on “Level 1” and "Level 2" inputs, which consist of quoted prices in active markets for identical assets.</w:t>
      </w:r>
    </w:p>
    <w:p>
      <w:pPr>
        <w:spacing w:after="0" w:line="37" w:lineRule="exact"/>
        <w:rPr>
          <w:sz w:val="20"/>
          <w:szCs w:val="20"/>
          <w:color w:val="auto"/>
        </w:rPr>
      </w:pPr>
    </w:p>
    <w:p>
      <w:pPr>
        <w:ind w:right="300" w:firstLine="432"/>
        <w:spacing w:after="0" w:line="302" w:lineRule="auto"/>
        <w:rPr>
          <w:sz w:val="20"/>
          <w:szCs w:val="20"/>
          <w:color w:val="auto"/>
        </w:rPr>
      </w:pPr>
      <w:r>
        <w:rPr>
          <w:rFonts w:ascii="Arial" w:cs="Arial" w:eastAsia="Arial" w:hAnsi="Arial"/>
          <w:sz w:val="16"/>
          <w:szCs w:val="16"/>
          <w:color w:val="auto"/>
        </w:rPr>
        <w:t>Money market funds attempt to maintain a net asset value, ("NAV"), of $1 per unit of investment. Should the underlying investments held by these money market funds suffer significant losses to market value due to interest rate changes or perceived counterparty risk, the NAV of these money market funds may suffer declines below the targeted $1 NAV. We hold money market funds that target a balance of investment return and preservation of invested capital through diversified holdings. As such, we do not believe we currently have significant exposure to NAV declines for our money market holdings.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We generate Euro-denominated accounts receivable from sales to customers that are members of the European Union. During the year ended December 31, 2014, Euro-denominated revenue was approximately $133,000 which represents less than 1% of our total net revenues compared to less than 1% in the same period last year. Although we are exposed to market risk arising from changes in foreign currency exchange rates, principally the change in the value of the Euro versus the U.S. Dollar, as Euro-denominated revenue is not considered significant, we did not enter into any foreign exchange contracts during the year ended December 31, 2014. If our net revenues increase in the foreseeable future, we may enter into foreign exchange contracts to mitigate this risk. These forward currency foreign exchange contracts would cover a portion, generally 50% to 80%, but may cover up to 100%, of our Euro-based financial assets.</w:t>
      </w:r>
    </w:p>
    <w:p>
      <w:pPr>
        <w:spacing w:after="0" w:line="54" w:lineRule="exact"/>
        <w:rPr>
          <w:sz w:val="20"/>
          <w:szCs w:val="20"/>
          <w:color w:val="auto"/>
        </w:rPr>
      </w:pPr>
    </w:p>
    <w:p>
      <w:pPr>
        <w:jc w:val="both"/>
        <w:ind w:right="280" w:firstLine="432"/>
        <w:spacing w:after="0" w:line="259" w:lineRule="auto"/>
        <w:rPr>
          <w:sz w:val="20"/>
          <w:szCs w:val="20"/>
          <w:color w:val="auto"/>
        </w:rPr>
      </w:pPr>
      <w:r>
        <w:rPr>
          <w:rFonts w:ascii="Arial" w:cs="Arial" w:eastAsia="Arial" w:hAnsi="Arial"/>
          <w:sz w:val="18"/>
          <w:szCs w:val="18"/>
          <w:color w:val="auto"/>
        </w:rPr>
        <w:t>At December 31, 2014, we had no outstanding forward contracts. During the year ended December 31, 2014, we recorded approximately $2,700 in unrealized foreign currency losses related to our outstanding Euro-denominated accounts receivable balances. Both the unrealized gain on the outstanding forward contracts and the unrealized gains on outstanding Euro-denominated receivables were recorded in other income (expense), net in our consolidated statement of operations.</w:t>
      </w:r>
    </w:p>
    <w:p>
      <w:pPr>
        <w:spacing w:after="0" w:line="52"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Assuming a translation of our Euro-denominated revenue for the year ended December 31, 2014 at an average Euro-to-U.S. Dollar exchange rate of $1.33 and a uniform ten percent strengthening or weakening of this exchange rate, we estimate that income before income taxes for the year ended December 31, 2014 would increase or decrease, respectively, by approximately $53,000. This analysis does not give effect to any forward currency foreign exchange contracts that may be used to hedge foreign currency risk.</w:t>
      </w:r>
    </w:p>
    <w:p>
      <w:pPr>
        <w:spacing w:after="0" w:line="52"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Our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in particular, the Euro. Any long-term strengthening of the U.S. Dollar could depress the demand for these U.S.</w:t>
      </w:r>
    </w:p>
    <w:p>
      <w:pPr>
        <w:spacing w:after="0"/>
        <w:rPr>
          <w:sz w:val="20"/>
          <w:szCs w:val="20"/>
          <w:color w:val="auto"/>
        </w:rPr>
      </w:pPr>
      <w:r>
        <w:rPr>
          <w:rFonts w:ascii="Arial" w:cs="Arial" w:eastAsia="Arial" w:hAnsi="Arial"/>
          <w:sz w:val="18"/>
          <w:szCs w:val="18"/>
          <w:color w:val="auto"/>
        </w:rPr>
        <w:t>manufactured products, reduce sales, or cause us to reduce per unit selling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26035"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index to our consolidated financial statements and the Report of Independent Registered Public Accounting Firm appears in Part IV of this report.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maintain disclosure controls and procedures (as defined in Rule 13a-15(e) under the Securities 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9"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December 31, 2014, the end of the period covered by this report. Based on the foregoing, our principal executive officer and principal financial and accounting officer concluded that our disclosure controls and procedures were effective as of December 31,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An evaluation was also performed under the supervision and with the participation of our management, including our principal executive officer and our principal financial and accounting officer, of any change in our internal control over financial reporting that occurred during our last fiscal quarter and that has materially affected, or is reasonably likely to materially affect, our internal control over financial reporting. The evaluation did not identify any change in our internal control over financial reporting that occurred during our latest fiscal quarter and that has materially affected, or is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jc w:val="both"/>
        <w:ind w:right="20" w:firstLine="432"/>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Rules 13a-15(f) and 15d-15(f). Our internal control over financial reporting is a process designed to provide reasonable assurance regarding the reliability of financial reporting and the preparation of the financial statements for external purposes in accordance with generally accepted accounting principles.</w:t>
      </w:r>
    </w:p>
    <w:p>
      <w:pPr>
        <w:ind w:right="260"/>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internal controls may become inadequate because of changes in conditions, or that the degree of compliance with policies and procedures may deteriorate.</w:t>
      </w:r>
    </w:p>
    <w:p>
      <w:pPr>
        <w:spacing w:after="0" w:line="55"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 xml:space="preserve">Under the supervision and with the participation of our management, including our principal executive officer and principal financial officer, we conducted an evaluation of the effectiveness of our internal control over financial reporting based on the framework set forth in by the Committee of Sponsoring Organizations of the Treadway Commission (COSO) (2013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Based on our evaluation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our management concluded that our internal control over financial reporting was effective as of December 31, 2014.</w:t>
      </w:r>
    </w:p>
    <w:p>
      <w:pPr>
        <w:spacing w:after="0" w:line="53"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Ernst &amp; Young LLP, the independent registered public accounting firm that audited the consolidated financial statements included in this Annual Report on Form 10-K, has also audited our internal control over financial reporting as of December 31, 2014, as stated in their report which is included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200" w:lineRule="exact"/>
        <w:rPr>
          <w:sz w:val="20"/>
          <w:szCs w:val="20"/>
          <w:color w:val="auto"/>
        </w:rPr>
      </w:pPr>
    </w:p>
    <w:p>
      <w:pPr>
        <w:spacing w:after="0" w:line="254" w:lineRule="exact"/>
        <w:rPr>
          <w:sz w:val="20"/>
          <w:szCs w:val="20"/>
          <w:color w:val="auto"/>
        </w:rPr>
      </w:pPr>
    </w:p>
    <w:p>
      <w:pPr>
        <w:ind w:right="200" w:firstLine="405"/>
        <w:spacing w:after="0" w:line="297" w:lineRule="auto"/>
        <w:rPr>
          <w:sz w:val="20"/>
          <w:szCs w:val="20"/>
          <w:color w:val="auto"/>
        </w:rPr>
      </w:pPr>
      <w:r>
        <w:rPr>
          <w:rFonts w:ascii="Arial" w:cs="Arial" w:eastAsia="Arial" w:hAnsi="Arial"/>
          <w:sz w:val="16"/>
          <w:szCs w:val="16"/>
          <w:color w:val="auto"/>
        </w:rPr>
        <w:t>We have audited Novatel Wireless Inc.’s internal control over financial reporting as of December 31, 2014, based on criteria established in Internal Control-Integrated Framework issued by the Committee of Sponsoring Organizations of the Treadway Commission (2013 framework) (the COSO criteria). Novatel Wireless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4"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our opinion, Novatel Wireless, Inc. maintained, in all material respects, effective internal control over financial reporting as of December 31, 2014, based on the COSO criteria.</w:t>
      </w:r>
    </w:p>
    <w:p>
      <w:pPr>
        <w:spacing w:after="0" w:line="11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Novatel Wireless, Inc. as of December 31, 2014 and 2013, and the related consolidated statements of operations, comprehensive loss, stockholders’ equity, and cash flows for each of the three years in the period ended December 31, 2014, of Novatel Wireless, Inc. and our report dated March 9, 2015 expressed an unqualified opinion thereon.</w:t>
      </w:r>
    </w:p>
    <w:p>
      <w:pPr>
        <w:spacing w:after="0" w:line="29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76" w:lineRule="exact"/>
        <w:rPr>
          <w:sz w:val="20"/>
          <w:szCs w:val="20"/>
          <w:color w:val="auto"/>
        </w:rPr>
      </w:pPr>
    </w:p>
    <w:p>
      <w:pPr>
        <w:ind w:right="420" w:firstLine="440"/>
        <w:spacing w:after="0" w:line="277" w:lineRule="auto"/>
        <w:tabs>
          <w:tab w:leader="none" w:pos="687"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Identification of Directors. </w:t>
      </w:r>
      <w:r>
        <w:rPr>
          <w:rFonts w:ascii="Arial" w:cs="Arial" w:eastAsia="Arial" w:hAnsi="Arial"/>
          <w:sz w:val="18"/>
          <w:szCs w:val="18"/>
          <w:color w:val="auto"/>
        </w:rPr>
        <w:t>The information under the caption “Election of Directors” appearing in the Proxy Statement to be filed for the 2015</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 is incorporated herein by reference.</w:t>
      </w:r>
    </w:p>
    <w:p>
      <w:pPr>
        <w:spacing w:after="0" w:line="35" w:lineRule="exact"/>
        <w:rPr>
          <w:rFonts w:ascii="Arial" w:cs="Arial" w:eastAsia="Arial" w:hAnsi="Arial"/>
          <w:sz w:val="18"/>
          <w:szCs w:val="18"/>
          <w:b w:val="1"/>
          <w:bCs w:val="1"/>
          <w:color w:val="auto"/>
        </w:rPr>
      </w:pPr>
    </w:p>
    <w:p>
      <w:pPr>
        <w:ind w:right="340" w:firstLine="440"/>
        <w:spacing w:after="0" w:line="277" w:lineRule="auto"/>
        <w:tabs>
          <w:tab w:leader="none" w:pos="697"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Identification of Executive Officers</w:t>
      </w:r>
      <w:r>
        <w:rPr>
          <w:rFonts w:ascii="Arial" w:cs="Arial" w:eastAsia="Arial" w:hAnsi="Arial"/>
          <w:sz w:val="18"/>
          <w:szCs w:val="18"/>
          <w:color w:val="auto"/>
        </w:rPr>
        <w:t>. The information under the caption “Executive Officers” appearing in the Proxy Statement to be filed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2015 Annual Meeting of Stockholders is incorporated herein by reference.</w:t>
      </w:r>
    </w:p>
    <w:p>
      <w:pPr>
        <w:spacing w:after="0" w:line="35" w:lineRule="exact"/>
        <w:rPr>
          <w:rFonts w:ascii="Arial" w:cs="Arial" w:eastAsia="Arial" w:hAnsi="Arial"/>
          <w:sz w:val="18"/>
          <w:szCs w:val="18"/>
          <w:b w:val="1"/>
          <w:bCs w:val="1"/>
          <w:color w:val="auto"/>
        </w:rPr>
      </w:pPr>
    </w:p>
    <w:p>
      <w:pPr>
        <w:ind w:right="980" w:firstLine="440"/>
        <w:spacing w:after="0" w:line="332" w:lineRule="auto"/>
        <w:tabs>
          <w:tab w:leader="none" w:pos="677" w:val="left"/>
        </w:tabs>
        <w:numPr>
          <w:ilvl w:val="0"/>
          <w:numId w:val="22"/>
        </w:numPr>
        <w:rPr>
          <w:rFonts w:ascii="Arial" w:cs="Arial" w:eastAsia="Arial" w:hAnsi="Arial"/>
          <w:sz w:val="16"/>
          <w:szCs w:val="16"/>
          <w:b w:val="1"/>
          <w:bCs w:val="1"/>
          <w:color w:val="auto"/>
        </w:rPr>
      </w:pPr>
      <w:r>
        <w:rPr>
          <w:rFonts w:ascii="Arial" w:cs="Arial" w:eastAsia="Arial" w:hAnsi="Arial"/>
          <w:sz w:val="16"/>
          <w:szCs w:val="16"/>
          <w:i w:val="1"/>
          <w:iCs w:val="1"/>
          <w:color w:val="auto"/>
        </w:rPr>
        <w:t>Compliance with Section 16(a) of the Exchange Act</w:t>
      </w:r>
      <w:r>
        <w:rPr>
          <w:rFonts w:ascii="Arial" w:cs="Arial" w:eastAsia="Arial" w:hAnsi="Arial"/>
          <w:sz w:val="16"/>
          <w:szCs w:val="16"/>
          <w:color w:val="auto"/>
        </w:rPr>
        <w:t>. The information under the caption “Section 16(a) Beneficial Ownership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appearing in the Proxy Statement to be filed for the 2015 Annual Meeting of Stockholders is incorporated herein by reference.</w:t>
      </w:r>
    </w:p>
    <w:p>
      <w:pPr>
        <w:spacing w:after="0" w:line="4" w:lineRule="exact"/>
        <w:rPr>
          <w:rFonts w:ascii="Arial" w:cs="Arial" w:eastAsia="Arial" w:hAnsi="Arial"/>
          <w:sz w:val="16"/>
          <w:szCs w:val="16"/>
          <w:b w:val="1"/>
          <w:bCs w:val="1"/>
          <w:color w:val="auto"/>
        </w:rPr>
      </w:pPr>
    </w:p>
    <w:p>
      <w:pPr>
        <w:ind w:firstLine="440"/>
        <w:spacing w:after="0" w:line="255" w:lineRule="auto"/>
        <w:tabs>
          <w:tab w:leader="none" w:pos="697"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Code of Ethics. </w:t>
      </w:r>
      <w:r>
        <w:rPr>
          <w:rFonts w:ascii="Arial" w:cs="Arial" w:eastAsia="Arial" w:hAnsi="Arial"/>
          <w:sz w:val="18"/>
          <w:szCs w:val="18"/>
          <w:color w:val="auto"/>
        </w:rPr>
        <w:t>We have adopted a</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Code of Conduct and Ethics</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together with the policies referred to therein, is applicable to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directors, officers and employees. The Code of Conduct and Ethics is intended to cover all areas of professional conduct, including conflicts of interest, disclosure obligations, insider trading and confidential information, as well as compliance with all laws, rules and regulations applicable to our business. We encourage all employees, officers and directors to promptly report any violations of any of our policies. The Code of Conduct and Ethics is posted on our website at </w:t>
      </w:r>
      <w:r>
        <w:rPr>
          <w:rFonts w:ascii="Arial" w:cs="Arial" w:eastAsia="Arial" w:hAnsi="Arial"/>
          <w:sz w:val="18"/>
          <w:szCs w:val="18"/>
          <w:i w:val="1"/>
          <w:iCs w:val="1"/>
          <w:color w:val="auto"/>
        </w:rPr>
        <w:t>www.novatelwireless.com</w:t>
      </w:r>
      <w:r>
        <w:rPr>
          <w:rFonts w:ascii="Arial" w:cs="Arial" w:eastAsia="Arial" w:hAnsi="Arial"/>
          <w:sz w:val="18"/>
          <w:szCs w:val="18"/>
          <w:color w:val="auto"/>
        </w:rPr>
        <w:t xml:space="preserve"> in the Investors tab under “Corporate Governance.” In the event that a substantive amendment to, or a waiver from, a provision of the Code of Conduct and Ethics that applies to our principal executive officer or principal financial and accounting officer is necessary, we intend to post such information on our website.</w:t>
      </w:r>
    </w:p>
    <w:p>
      <w:pPr>
        <w:spacing w:after="0" w:line="54" w:lineRule="exact"/>
        <w:rPr>
          <w:rFonts w:ascii="Arial" w:cs="Arial" w:eastAsia="Arial" w:hAnsi="Arial"/>
          <w:sz w:val="18"/>
          <w:szCs w:val="18"/>
          <w:b w:val="1"/>
          <w:bCs w:val="1"/>
          <w:color w:val="auto"/>
        </w:rPr>
      </w:pPr>
    </w:p>
    <w:p>
      <w:pPr>
        <w:ind w:right="80" w:firstLine="440"/>
        <w:spacing w:after="0" w:line="277" w:lineRule="auto"/>
        <w:tabs>
          <w:tab w:leader="none" w:pos="677" w:val="left"/>
        </w:tabs>
        <w:numPr>
          <w:ilvl w:val="0"/>
          <w:numId w:val="22"/>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The information under the caption “The Board, Its Committees and Its Compensation—Audit Committee” appearing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to be filed for the 2015 Annual Meeting of Stockholders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information under the headings “Executive Compensation,” “The Board, Its Committees and Its Compensation—Director Compensation,” “Compensation Discussion and Analysis” and “Compensation Committee Report” appearing in the Proxy Statement to be filed for the 2015 Annual Meeting of Stockholders is incorporated herein by reference.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4" w:lineRule="exact"/>
        <w:rPr>
          <w:sz w:val="20"/>
          <w:szCs w:val="20"/>
          <w:color w:val="auto"/>
        </w:rPr>
      </w:pPr>
    </w:p>
    <w:p>
      <w:pPr>
        <w:ind w:right="960" w:firstLine="432"/>
        <w:spacing w:after="0" w:line="342" w:lineRule="auto"/>
        <w:rPr>
          <w:sz w:val="20"/>
          <w:szCs w:val="20"/>
          <w:color w:val="auto"/>
        </w:rPr>
      </w:pPr>
      <w:r>
        <w:rPr>
          <w:rFonts w:ascii="Arial" w:cs="Arial" w:eastAsia="Arial" w:hAnsi="Arial"/>
          <w:sz w:val="16"/>
          <w:szCs w:val="16"/>
          <w:color w:val="auto"/>
        </w:rPr>
        <w:t>The information under the headings “Security Ownership of Management and Certain Beneficial Owners” and “Equity Compensation Plan Information” appearing in the Proxy Statement to be filed for the 2015 Annual Meeting of Stockholders is incorporated herein by reference.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 information under the headings “Review and Approval of Transactions with Related Parties” and “The Board, Its Committees and Its Compensation—Director Independence” appearing in the Proxy Statement to be filed for the 2015 Annual Meeting of Stockholders is incorporated herein by reference.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information under the heading “Independent Public Accountants” appearing in the Proxy Statement to be filed for the 2015 Annual Meeting of Stockholders is incorporated herein by reference.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1. Index to consolidated financial statements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Index to consolidated financial statements on page F-1.</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 Index to financial statement schedules</w:t>
      </w:r>
    </w:p>
    <w:p>
      <w:pPr>
        <w:spacing w:after="0" w:line="171" w:lineRule="exact"/>
        <w:rPr>
          <w:sz w:val="20"/>
          <w:szCs w:val="20"/>
          <w:color w:val="auto"/>
        </w:rPr>
      </w:pPr>
    </w:p>
    <w:p>
      <w:pPr>
        <w:ind w:right="840" w:firstLine="432"/>
        <w:spacing w:after="0" w:line="277" w:lineRule="auto"/>
        <w:rPr>
          <w:sz w:val="20"/>
          <w:szCs w:val="20"/>
          <w:color w:val="auto"/>
        </w:rPr>
      </w:pPr>
      <w:r>
        <w:rPr>
          <w:rFonts w:ascii="Arial" w:cs="Arial" w:eastAsia="Arial" w:hAnsi="Arial"/>
          <w:sz w:val="18"/>
          <w:szCs w:val="18"/>
          <w:color w:val="auto"/>
        </w:rPr>
        <w:t>The following financial statement schedules for the years ended December 31, 2014, 2013, and 2012 should be read in conjunction with the consolidated financial statements, and related notes thereto.</w:t>
      </w: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60" w:type="dxa"/>
            <w:vAlign w:val="bottom"/>
          </w:tcPr>
          <w:p>
            <w:pPr>
              <w:spacing w:after="0"/>
              <w:rPr>
                <w:sz w:val="20"/>
                <w:szCs w:val="20"/>
                <w:color w:val="auto"/>
              </w:rPr>
            </w:pPr>
            <w:r>
              <w:rPr>
                <w:rFonts w:ascii="Arial" w:cs="Arial" w:eastAsia="Arial" w:hAnsi="Arial"/>
                <w:sz w:val="14"/>
                <w:szCs w:val="14"/>
                <w:b w:val="1"/>
                <w:bCs w:val="1"/>
                <w:color w:val="auto"/>
                <w:w w:val="86"/>
              </w:rPr>
              <w:t>Schedule</w:t>
            </w:r>
          </w:p>
        </w:tc>
        <w:tc>
          <w:tcPr>
            <w:tcW w:w="9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560" w:type="dxa"/>
            <w:vAlign w:val="bottom"/>
            <w:shd w:val="clear" w:color="auto" w:fill="000000"/>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9760" w:type="dxa"/>
            <w:vAlign w:val="bottom"/>
            <w:gridSpan w:val="2"/>
          </w:tcPr>
          <w:p>
            <w:pPr>
              <w:spacing w:after="0"/>
              <w:rPr>
                <w:sz w:val="20"/>
                <w:szCs w:val="20"/>
                <w:color w:val="auto"/>
              </w:rPr>
            </w:pPr>
            <w:r>
              <w:rPr>
                <w:rFonts w:ascii="Arial" w:cs="Arial" w:eastAsia="Arial" w:hAnsi="Arial"/>
                <w:sz w:val="18"/>
                <w:szCs w:val="18"/>
                <w:color w:val="auto"/>
              </w:rPr>
              <w:t>Schedule II—Valuation and Qualifying Accounts</w:t>
            </w:r>
          </w:p>
        </w:tc>
        <w:tc>
          <w:tcPr>
            <w:tcW w:w="4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74">
              <w:r>
                <w:rPr>
                  <w:rFonts w:ascii="Arial" w:cs="Arial" w:eastAsia="Arial" w:hAnsi="Arial"/>
                  <w:sz w:val="18"/>
                  <w:szCs w:val="18"/>
                  <w:color w:val="0000EE"/>
                  <w:w w:val="95"/>
                </w:rPr>
                <w:t>F- 31</w:t>
              </w:r>
            </w:hyperlink>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Schedules not listed above have been omitted because they are not applicable or are not required or the information required to be set forth therein is included in the consolidated financial statements or related notes thereto.</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 Exhibits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as part of, or incorporated by reference into this report:</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7"/>
                <w:szCs w:val="17"/>
                <w:color w:val="auto"/>
              </w:rPr>
            </w:pPr>
          </w:p>
        </w:tc>
        <w:tc>
          <w:tcPr>
            <w:tcW w:w="9380" w:type="dxa"/>
            <w:vAlign w:val="bottom"/>
          </w:tcPr>
          <w:p>
            <w:pPr>
              <w:spacing w:after="0"/>
              <w:rPr>
                <w:sz w:val="17"/>
                <w:szCs w:val="17"/>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1"/>
              </w:rPr>
              <w:t>Number</w:t>
            </w:r>
          </w:p>
        </w:tc>
        <w:tc>
          <w:tcPr>
            <w:tcW w:w="400" w:type="dxa"/>
            <w:vAlign w:val="bottom"/>
          </w:tcPr>
          <w:p>
            <w:pPr>
              <w:spacing w:after="0"/>
              <w:rPr>
                <w:sz w:val="17"/>
                <w:szCs w:val="17"/>
                <w:color w:val="auto"/>
              </w:rPr>
            </w:pPr>
          </w:p>
        </w:tc>
        <w:tc>
          <w:tcPr>
            <w:tcW w:w="10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398"/>
        </w:trPr>
        <w:tc>
          <w:tcPr>
            <w:tcW w:w="560" w:type="dxa"/>
            <w:vAlign w:val="bottom"/>
          </w:tcPr>
          <w:p>
            <w:pPr>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Agreement and Plan of Merger, dated as of November 5, 2010, by and between Novatel Wireless, Inc., England Acquisition Corp. and Enfora,</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the Company’s Annual Report on Form 10-K</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392"/>
        </w:trPr>
        <w:tc>
          <w:tcPr>
            <w:tcW w:w="560" w:type="dxa"/>
            <w:vAlign w:val="bottom"/>
          </w:tcPr>
          <w:p>
            <w:pPr>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Certificate of Amendment to Amended and Restated Certificate of Incorporation.</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Certificate of Designation of Series B Convertible Preferred Stock (incorporated by reference to Exhibit 3.5 to the Company’s Amendment</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Certificate of Designation of Series C Convertible Preferred Stock (incorporated by reference to Exhibit 3.1 to the Company’s Current Report</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8-K, filed September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Second Amended and Restated Bylaws (incorporated by reference to Exhibit 3.1 to the Company’s Current Report on Form 8-K, filed</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February 19, 2015).</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Registration Rights Agreement, dated as of June 15, 1999, by and among the Company and certain of its stockholders</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(incorporated by reference to Exhibit 10.4 to the Company’s Registration Statement on Form S-1 (No. 333-42570), filed July 28, 2000, as</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Registration Rights Agreement, dated as of March 12, 2003, entered into in connection with the Company’s 2003 Series B Convertible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Preferred Stock Financing (incorporated by reference to Exhibit 4.8 to the Company’s Current Report on Form 8-K, filed March 28, 2003).</w:t>
            </w:r>
          </w:p>
        </w:tc>
      </w:tr>
      <w:tr>
        <w:trPr>
          <w:trHeight w:val="60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60" w:type="dxa"/>
            <w:vAlign w:val="bottom"/>
            <w:gridSpan w:val="2"/>
          </w:tcPr>
          <w:p>
            <w:pPr>
              <w:ind w:left="454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340"/>
          </w:cols>
          <w:pgMar w:left="240" w:top="125" w:right="31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7"/>
                <w:szCs w:val="17"/>
                <w:color w:val="auto"/>
              </w:rPr>
            </w:pPr>
          </w:p>
        </w:tc>
        <w:tc>
          <w:tcPr>
            <w:tcW w:w="9400" w:type="dxa"/>
            <w:vAlign w:val="bottom"/>
          </w:tcPr>
          <w:p>
            <w:pPr>
              <w:spacing w:after="0"/>
              <w:rPr>
                <w:sz w:val="17"/>
                <w:szCs w:val="17"/>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1"/>
              </w:rPr>
              <w:t>Number</w:t>
            </w:r>
          </w:p>
        </w:tc>
        <w:tc>
          <w:tcPr>
            <w:tcW w:w="400" w:type="dxa"/>
            <w:vAlign w:val="bottom"/>
          </w:tcPr>
          <w:p>
            <w:pPr>
              <w:spacing w:after="0"/>
              <w:rPr>
                <w:sz w:val="17"/>
                <w:szCs w:val="17"/>
                <w:color w:val="auto"/>
              </w:rPr>
            </w:pPr>
          </w:p>
        </w:tc>
        <w:tc>
          <w:tcPr>
            <w:tcW w:w="102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r>
      <w:tr>
        <w:trPr>
          <w:trHeight w:val="398"/>
        </w:trPr>
        <w:tc>
          <w:tcPr>
            <w:tcW w:w="560" w:type="dxa"/>
            <w:vAlign w:val="bottom"/>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Registration Rights Agreement, dated as of January 13, 2004, entered into in connection with the Company’s January 2004 Common Stock</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3"/>
              </w:rPr>
              <w:t>and Warrant Financing Transaction (incorporated by reference to Exhibit 10.21 to the Company’s Annual Report on Form 10-K for the year</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ended December 31, 2003, filed March 15, 2004).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Stipulation of Settlement, dated January 31, 2014 and effective as of June 20, 2014 (incorporated by reference to Exhibit 4.1 to the Company’s</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June 30, 2014, filed August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Promissory Note, dated July 3, 2014 (incorporated by reference to Exhibit 4.2 to the Company’s Quarterly Report on Form 10-Q for the period</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ended June 30, 2014, filed August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3"/>
              </w:rPr>
              <w:t>Security Agreement, dated July 3, 2014 (incorporated by reference to Exhibit 4.3 to the Company’s Quarterly Report on Form 10-Q for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period ended June 30, 2014, filed August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Final Judgment and Order of Dismissal With Prejudice, dated June 23, 2014 (incorporated by reference to Exhibit 4.4 to the Company’s</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June 30, 2014, filed August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Order Granting Motion to Amend the Judgment Date, dated July 8, 2014 (incorporated by reference to Exhibit 4.5 to the Company’s Quarterly</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Report on Form 10-Q for the period ended June 30, 2014, filed August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Warrant to Purchase Common Stock issued to HC2 Holdings 2, Inc., dated September 8, 2014 (incorporated by reference to Exhibit 4.1 to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September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3"/>
              </w:rPr>
              <w:t>Investors’ Rights Agreement, dated September 8, 2014, by and between Novatel Wireless, Inc. and HC2 Holdings 2, Inc. (incorporated by</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reference to Exhibit 4.2 to the Company’s Current Report on Form 8-K, filed September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Credit and Security Agreement, dated as of October 31, 2014, by and among Novatel Wireless, Inc. and Enfora, Inc., as Borrowers, and Wells</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Fargo Bank, National Association, as Lender (incorporated by reference to Exhibit 10.1 to the Company’s Current Report on Form 8-K, filed</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November 6,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Purchase Agreement, dated September 3, 2014, by and between Novatel Wireless, Inc. and HC2 Holdings 2, Inc. (incorporated by reference to</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Exhibit 10.1 to the Company’s Current Report on Form 8-K, filed September 8,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Memorandum of Understanding: In re Novatel Wireless Secs. Litig., Civil Action No. 08-CV-01689-AJB (RBB) United States District Court</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for the Southern District of California, executed December 6, 2013 (incorporated by reference to Exhibit 10.19 to the Company’s Annual</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Report on Form 10-K, filed March 12,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Letter Agreement, dated as of April 29, 2014, by and among the Company and each of Cobb H. Sadler, Edward T. Shadek, Robert Ellsworth,</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Alex Mashinsky, Richard A. Karp, Maguire Financial, LP, a Delaware limited partnership, Maguire Asset Management, LLC, a Delaware</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4"/>
              </w:rPr>
              <w:t>limited liability company, and Timothy Maguire (incorporated by reference to Exhibit 10.1 to the Company’s Current Report on Form 8-K,</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filed May 6,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Confirmation Letter, dated July 3, 2014, by and among the Company and each of Cobb H. Sadler, Edward T. Shadek, Robert Ellsworth,</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Maguire Financial, LP, a Delaware limited partnership, Maguire Asset Management, LLC, a Delaware limited liability company, and Timothy</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Maguire (incorporated by reference to Exhibit 10.1 to the Company’s Current Report on Form 8-K, filed July 10,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Amended and Restated Novatel Wireless, Inc. 2000 Stock Incentive Plan (“2000 Plan”) (incorporated by reference to Exhibit 10.1 to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Form of Executive Officer Stock Option Agreement under the 2000 Plan (incorporated by reference to Exhibit 10.3 to the Company’s Annual</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Form of Director Stock Option Agreement under the 2000 Plan (incorporated by reference to Exhibit 10.4 to the Company’s Annual Report on</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Form 10-K for the year ended December 31, 2005, filed March 16, 2006).</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1997</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Plan (incorporated by reference to Exhibit 10.2 to the Company’s Quarterly Report on Form 10-Q for the period ended September 30, 2006,</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filed November 9, 2006).</w:t>
            </w:r>
          </w:p>
        </w:tc>
      </w:tr>
    </w:tbl>
    <w:p>
      <w:pPr>
        <w:spacing w:after="0" w:line="200" w:lineRule="exact"/>
        <w:rPr>
          <w:sz w:val="20"/>
          <w:szCs w:val="20"/>
          <w:color w:val="auto"/>
        </w:rPr>
      </w:pPr>
    </w:p>
    <w:p>
      <w:pPr>
        <w:sectPr>
          <w:pgSz w:w="11900" w:h="16838" w:orient="portrait"/>
          <w:cols w:equalWidth="0" w:num="1">
            <w:col w:w="11360"/>
          </w:cols>
          <w:pgMar w:left="240" w:top="125" w:right="299" w:bottom="1440" w:gutter="0" w:footer="0" w:header="0"/>
        </w:sectPr>
      </w:pP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360"/>
          </w:cols>
          <w:pgMar w:left="240" w:top="125" w:right="29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880" w:type="dxa"/>
            <w:vAlign w:val="bottom"/>
          </w:tcPr>
          <w:p>
            <w:pPr>
              <w:spacing w:after="0"/>
              <w:rPr>
                <w:sz w:val="17"/>
                <w:szCs w:val="17"/>
                <w:color w:val="auto"/>
              </w:rPr>
            </w:pPr>
          </w:p>
        </w:tc>
        <w:tc>
          <w:tcPr>
            <w:tcW w:w="9420" w:type="dxa"/>
            <w:vAlign w:val="bottom"/>
          </w:tcPr>
          <w:p>
            <w:pPr>
              <w:spacing w:after="0"/>
              <w:rPr>
                <w:sz w:val="17"/>
                <w:szCs w:val="17"/>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w w:val="91"/>
              </w:rPr>
              <w:t>Number</w:t>
            </w:r>
          </w:p>
        </w:tc>
        <w:tc>
          <w:tcPr>
            <w:tcW w:w="400" w:type="dxa"/>
            <w:vAlign w:val="bottom"/>
          </w:tcPr>
          <w:p>
            <w:pPr>
              <w:spacing w:after="0"/>
              <w:rPr>
                <w:sz w:val="17"/>
                <w:szCs w:val="17"/>
                <w:color w:val="auto"/>
              </w:rPr>
            </w:pPr>
          </w:p>
        </w:tc>
        <w:tc>
          <w:tcPr>
            <w:tcW w:w="103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r>
      <w:tr>
        <w:trPr>
          <w:trHeight w:val="276"/>
        </w:trPr>
        <w:tc>
          <w:tcPr>
            <w:tcW w:w="560" w:type="dxa"/>
            <w:vAlign w:val="bottom"/>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2000</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Plan (incorporated by reference to Exhibit 10.3 to the Company’s Quarterly Report on Form 10-Q for the period ended September 30, 2006,</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filed November 9, 2006).</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2000</w:t>
            </w:r>
          </w:p>
        </w:tc>
      </w:tr>
      <w:tr>
        <w:trPr>
          <w:trHeight w:val="216"/>
        </w:trPr>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0"/>
              </w:rPr>
              <w:t>Plan and grants made pursuant thereto in 2004 and subsequently (incorporated by reference to Exhibit 10.4 to the Company’s Quarterly Report</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on Form 10-Q for the period ended September 30, 2006, filed November 9, 2006).</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7"/>
              </w:rPr>
              <w:t>Amended and Restated Novatel Wireless, Inc. 2000 Employee Stock Purchase Plan (incorporated by reference to Appendix A to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Company’s Proxy Statement on Schedule 14A filed May 2, 2011).</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Form of Restricted Share Award Agreement for restricted stock granted to non-employee directors (incorporated by reference to Exhibit 10.10</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to the Company’s Quarterly Report on Form 10-Q for the period ended June 30, 2006, filed August 9, 2006).</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Form of Restricted Share Award Agreement for restricted stock granted to executive officers (incorporated by reference to Exhibit 10.11 to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Company’s Quarterly Report on Form 10-Q for the period ended June 30, 2006, filed August 9, 2006).</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9"/>
              </w:rPr>
              <w:t>Form of Indemnification Agreement (incorporated by reference to Exhibit 10.2 to the Company’s Current Report on Form 8-K, filed</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November 6,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2009 Omnibus Incentive Compensation Plan (incorporated by reference to Appendix A to the Company’s Proxy Statement on Schedule 14A,</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filed October 14,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2009 Omnibus Incentive Compensation Plan (incorporated by reference to Appendix B to the Company’s Proxy Statement on Schedule 14A,</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filed April 30, 2013).</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5"/>
              </w:rPr>
              <w:t>2010 Senior Management Incentive Plan (incorporated by reference to Exhibit 10.1 to the Company’s Current Report on Form 8-K, filed</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September 13, 2010).</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2011 Senior Management Incentive Plan (incorporated by reference to Exhibit 10.1 to the Company’s Quarterly Report on Form 10-Q for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period ended June 30, 2011, filed on August 9, 2011).</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10.22*</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2012 Senior Management Incentive Plan (incorporated by reference to Exhibit 10.1 to the Company’s Current Report on Form 8-K, filed July</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6, 2012).</w:t>
            </w:r>
          </w:p>
        </w:tc>
        <w:tc>
          <w:tcPr>
            <w:tcW w:w="9420" w:type="dxa"/>
            <w:vAlign w:val="bottom"/>
          </w:tcPr>
          <w:p>
            <w:pPr>
              <w:spacing w:after="0"/>
              <w:rPr>
                <w:sz w:val="20"/>
                <w:szCs w:val="20"/>
                <w:color w:val="auto"/>
              </w:rPr>
            </w:pP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5"/>
              </w:rPr>
              <w:t>2013 Senior Management Incentive Plan (incorporated by reference to Exhibit 10.1 to the Company's Current Report on Form 8-K, filed</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March 22, 2013).</w:t>
            </w:r>
          </w:p>
        </w:tc>
      </w:tr>
      <w:tr>
        <w:trPr>
          <w:trHeight w:val="392"/>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2014 Retention Bonus Plan.</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Employment Agreement, dated November 2, 2007, by and between Peter V. Leparulo and the Company (incorporated by reference to Exhibit</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Letter Agreement, dated as of April 29, 2014, by and between the Company and Peter V. Leparulo (incorporated by reference to Exhibit 10.2</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May 6,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5"/>
              </w:rPr>
              <w:t>Form of Severance Agreement between Novatel Wireless, Inc. and each of Kenneth G. Leddon and Robert M. Hadley (incorporated by</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reference to Exhibit 10.1 to the Company’s Current Report on Form 8-K, filed August 2, 2010).</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10.28*</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Employment Agreement, dated August 4, 2014, by and between the Company and Alex Mashinsky (incorporated by reference to Exhibit 10.1</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to the Company’s Current Report on Form 8-K, filed August 6,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Offer Letter, dated November 2, 2014, by and between Novatel Wireless, Inc. and Alex Mashinsky (incorporated by reference to Exhibit 10.3</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to the Company’s Current Report on Form 8-K, filed November 6, 2014).</w:t>
            </w:r>
          </w:p>
        </w:tc>
      </w:tr>
      <w:tr>
        <w:trPr>
          <w:trHeight w:val="377"/>
        </w:trPr>
        <w:tc>
          <w:tcPr>
            <w:tcW w:w="560" w:type="dxa"/>
            <w:vAlign w:val="bottom"/>
          </w:tcPr>
          <w:p>
            <w:pPr>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0"/>
              </w:rPr>
              <w:t>Offer letter, effective September 2, 2014, by and between the Company and Michael Newman (incorporated by reference to Exhibit 10.1 to the</w:t>
            </w:r>
          </w:p>
        </w:tc>
      </w:tr>
      <w:tr>
        <w:trPr>
          <w:trHeight w:val="230"/>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September 4, 2014).</w:t>
            </w: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380"/>
          </w:cols>
          <w:pgMar w:left="240" w:top="125" w:right="27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Exhibit</w:t>
      </w:r>
    </w:p>
    <w:p>
      <w:pPr>
        <w:spacing w:after="0" w:line="2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170" w:lineRule="exact"/>
        <w:rPr>
          <w:sz w:val="20"/>
          <w:szCs w:val="20"/>
          <w:color w:val="auto"/>
        </w:rPr>
      </w:pPr>
    </w:p>
    <w:p>
      <w:pPr>
        <w:ind w:left="1080" w:right="20" w:hanging="1039"/>
        <w:spacing w:after="0" w:line="277" w:lineRule="auto"/>
        <w:tabs>
          <w:tab w:leader="none" w:pos="106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Change in Control and Severance Agreement, effective September 2, 2014, by and between the Company and Michael Newman (incorporated by reference to Exhibit 10.2 to the Company’s Current Report on Form 8-K, filed September 4, 2014).</w:t>
      </w:r>
    </w:p>
    <w:p>
      <w:pPr>
        <w:spacing w:after="0" w:line="130" w:lineRule="exact"/>
        <w:rPr>
          <w:sz w:val="20"/>
          <w:szCs w:val="20"/>
          <w:color w:val="auto"/>
        </w:rPr>
      </w:pPr>
    </w:p>
    <w:p>
      <w:pPr>
        <w:ind w:left="1080" w:right="240" w:hanging="1045"/>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2013, filed March 12, 2014).</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1056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10560" w:type="dxa"/>
            <w:vAlign w:val="bottom"/>
          </w:tcPr>
          <w:p>
            <w:pPr>
              <w:ind w:left="280"/>
              <w:spacing w:after="0"/>
              <w:rPr>
                <w:sz w:val="20"/>
                <w:szCs w:val="20"/>
                <w:color w:val="auto"/>
              </w:rPr>
            </w:pPr>
            <w:r>
              <w:rPr>
                <w:rFonts w:ascii="Arial" w:cs="Arial" w:eastAsia="Arial" w:hAnsi="Arial"/>
                <w:sz w:val="18"/>
                <w:szCs w:val="18"/>
                <w:color w:val="auto"/>
              </w:rPr>
              <w:t>Power of Attorney (See signature page).</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560" w:type="dxa"/>
            <w:vAlign w:val="bottom"/>
          </w:tcPr>
          <w:p>
            <w:pPr>
              <w:ind w:left="28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560" w:type="dxa"/>
            <w:vAlign w:val="bottom"/>
          </w:tcPr>
          <w:p>
            <w:pPr>
              <w:ind w:left="28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560" w:type="dxa"/>
            <w:vAlign w:val="bottom"/>
          </w:tcPr>
          <w:p>
            <w:pPr>
              <w:ind w:left="280"/>
              <w:spacing w:after="0"/>
              <w:rPr>
                <w:sz w:val="20"/>
                <w:szCs w:val="20"/>
                <w:color w:val="auto"/>
              </w:rPr>
            </w:pPr>
            <w:r>
              <w:rPr>
                <w:rFonts w:ascii="Arial" w:cs="Arial" w:eastAsia="Arial" w:hAnsi="Arial"/>
                <w:sz w:val="18"/>
                <w:szCs w:val="18"/>
                <w:color w:val="auto"/>
                <w:w w:val="90"/>
              </w:rPr>
              <w:t>Certification of Principal Executive Officer pursuant to 18 U.S.C. Section 1350, as adopted pursuant to Section 906 of the Sarbanes-Oxley Act</w:t>
            </w:r>
          </w:p>
        </w:tc>
      </w:tr>
      <w:tr>
        <w:trPr>
          <w:trHeight w:val="230"/>
        </w:trPr>
        <w:tc>
          <w:tcPr>
            <w:tcW w:w="7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of 2002.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560" w:type="dxa"/>
            <w:vAlign w:val="bottom"/>
          </w:tcPr>
          <w:p>
            <w:pPr>
              <w:ind w:left="280"/>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w:t>
            </w:r>
          </w:p>
        </w:tc>
      </w:tr>
      <w:tr>
        <w:trPr>
          <w:trHeight w:val="230"/>
        </w:trPr>
        <w:tc>
          <w:tcPr>
            <w:tcW w:w="7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rPr>
              <w:t>of 2002.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60" w:type="dxa"/>
            <w:vAlign w:val="bottom"/>
          </w:tcPr>
          <w:p>
            <w:pPr>
              <w:ind w:left="280"/>
              <w:spacing w:after="0"/>
              <w:rPr>
                <w:sz w:val="20"/>
                <w:szCs w:val="20"/>
                <w:color w:val="auto"/>
              </w:rPr>
            </w:pPr>
            <w:r>
              <w:rPr>
                <w:rFonts w:ascii="Arial" w:cs="Arial" w:eastAsia="Arial" w:hAnsi="Arial"/>
                <w:sz w:val="18"/>
                <w:szCs w:val="18"/>
                <w:color w:val="auto"/>
                <w:w w:val="92"/>
              </w:rPr>
              <w:t>The following financial statements and footnotes from the Novatel Wireless, Inc. Annual Report on Form 10-K for the year ended December</w:t>
            </w:r>
          </w:p>
        </w:tc>
      </w:tr>
      <w:tr>
        <w:trPr>
          <w:trHeight w:val="230"/>
        </w:trPr>
        <w:tc>
          <w:tcPr>
            <w:tcW w:w="760" w:type="dxa"/>
            <w:vAlign w:val="bottom"/>
          </w:tcPr>
          <w:p>
            <w:pPr>
              <w:spacing w:after="0"/>
              <w:rPr>
                <w:sz w:val="20"/>
                <w:szCs w:val="20"/>
                <w:color w:val="auto"/>
              </w:rPr>
            </w:pPr>
          </w:p>
        </w:tc>
        <w:tc>
          <w:tcPr>
            <w:tcW w:w="10560" w:type="dxa"/>
            <w:vAlign w:val="bottom"/>
          </w:tcPr>
          <w:p>
            <w:pPr>
              <w:ind w:left="280"/>
              <w:spacing w:after="0"/>
              <w:rPr>
                <w:sz w:val="20"/>
                <w:szCs w:val="20"/>
                <w:color w:val="auto"/>
              </w:rPr>
            </w:pPr>
            <w:r>
              <w:rPr>
                <w:rFonts w:ascii="Arial" w:cs="Arial" w:eastAsia="Arial" w:hAnsi="Arial"/>
                <w:sz w:val="18"/>
                <w:szCs w:val="18"/>
                <w:color w:val="auto"/>
                <w:w w:val="93"/>
              </w:rPr>
              <w:t>31, 2014 formatted in eXtensible Business Reporting Language (XBRL): (i) Consolidated Balance Sheets; (ii) Consolidated Statements of</w:t>
            </w:r>
          </w:p>
        </w:tc>
      </w:tr>
    </w:tbl>
    <w:p>
      <w:pPr>
        <w:ind w:left="1080" w:right="300"/>
        <w:spacing w:after="0" w:line="261" w:lineRule="auto"/>
        <w:rPr>
          <w:sz w:val="20"/>
          <w:szCs w:val="20"/>
          <w:color w:val="auto"/>
        </w:rPr>
      </w:pPr>
      <w:r>
        <w:rPr>
          <w:rFonts w:ascii="Arial" w:cs="Arial" w:eastAsia="Arial" w:hAnsi="Arial"/>
          <w:sz w:val="18"/>
          <w:szCs w:val="18"/>
          <w:color w:val="auto"/>
        </w:rPr>
        <w:t>Operations; (iii) Consolidated Statements of Comprehensive Loss; (iv) Consolidated Statements of Stockholders’ Equity; (v) Consolidated Statements of Cash Flows; and (vi) the Notes to Consolidated Financial Statements.</w:t>
      </w:r>
    </w:p>
    <w:p>
      <w:pPr>
        <w:spacing w:after="0" w:line="143" w:lineRule="exact"/>
        <w:rPr>
          <w:sz w:val="20"/>
          <w:szCs w:val="20"/>
          <w:color w:val="auto"/>
        </w:rPr>
      </w:pPr>
    </w:p>
    <w:p>
      <w:pPr>
        <w:ind w:left="1080" w:hanging="1045"/>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85" w:lineRule="exact"/>
        <w:rPr>
          <w:sz w:val="20"/>
          <w:szCs w:val="20"/>
          <w:color w:val="auto"/>
        </w:rPr>
      </w:pPr>
    </w:p>
    <w:p>
      <w:pPr>
        <w:ind w:left="1080" w:hanging="1045"/>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125" w:right="2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Date: March 9, 2015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N</w:t>
      </w:r>
      <w:r>
        <w:rPr>
          <w:rFonts w:ascii="Arial" w:cs="Arial" w:eastAsia="Arial" w:hAnsi="Arial"/>
          <w:sz w:val="13"/>
          <w:szCs w:val="13"/>
          <w:color w:val="auto"/>
        </w:rPr>
        <w:t>OVATEL</w:t>
      </w:r>
      <w:r>
        <w:rPr>
          <w:rFonts w:ascii="Arial" w:cs="Arial" w:eastAsia="Arial" w:hAnsi="Arial"/>
          <w:sz w:val="17"/>
          <w:szCs w:val="17"/>
          <w:color w:val="auto"/>
        </w:rPr>
        <w:t xml:space="preserve"> W</w:t>
      </w:r>
      <w:r>
        <w:rPr>
          <w:rFonts w:ascii="Arial" w:cs="Arial" w:eastAsia="Arial" w:hAnsi="Arial"/>
          <w:sz w:val="13"/>
          <w:szCs w:val="13"/>
          <w:color w:val="auto"/>
        </w:rPr>
        <w:t>IRELESS</w:t>
      </w:r>
      <w:r>
        <w:rPr>
          <w:rFonts w:ascii="Arial" w:cs="Arial" w:eastAsia="Arial" w:hAnsi="Arial"/>
          <w:sz w:val="17"/>
          <w:szCs w:val="17"/>
          <w:color w:val="auto"/>
        </w:rPr>
        <w:t>, INC.</w:t>
      </w:r>
    </w:p>
    <w:p>
      <w:pPr>
        <w:spacing w:after="0" w:line="196" w:lineRule="exact"/>
        <w:rPr>
          <w:sz w:val="20"/>
          <w:szCs w:val="20"/>
          <w:color w:val="auto"/>
        </w:rPr>
      </w:pPr>
    </w:p>
    <w:p>
      <w:pPr>
        <w:sectPr>
          <w:pgSz w:w="11900" w:h="16838" w:orient="portrait"/>
          <w:cols w:equalWidth="0" w:num="2">
            <w:col w:w="5940" w:space="720"/>
            <w:col w:w="4760"/>
          </w:cols>
          <w:pgMar w:left="240" w:top="125" w:right="239" w:bottom="1440" w:gutter="0" w:footer="0" w:header="0"/>
          <w:type w:val="continuous"/>
        </w:sectPr>
      </w:pPr>
    </w:p>
    <w:p>
      <w:pPr>
        <w:ind w:left="6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-892810</wp:posOffset>
            </wp:positionH>
            <wp:positionV relativeFrom="paragraph">
              <wp:posOffset>31750</wp:posOffset>
            </wp:positionV>
            <wp:extent cx="25641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3">
            <w:col w:w="7540" w:space="720"/>
            <w:col w:w="180" w:space="160"/>
            <w:col w:w="2820"/>
          </w:cols>
          <w:pgMar w:left="240" w:top="125" w:right="239" w:bottom="1440" w:gutter="0" w:footer="0" w:header="0"/>
          <w:type w:val="continuous"/>
        </w:sectPr>
      </w:pPr>
    </w:p>
    <w:p>
      <w:pPr>
        <w:ind w:left="8720"/>
        <w:spacing w:after="0"/>
        <w:rPr>
          <w:sz w:val="20"/>
          <w:szCs w:val="20"/>
          <w:color w:val="auto"/>
        </w:rPr>
      </w:pPr>
      <w:r>
        <w:rPr>
          <w:rFonts w:ascii="Arial" w:cs="Arial" w:eastAsia="Arial" w:hAnsi="Arial"/>
          <w:sz w:val="14"/>
          <w:szCs w:val="14"/>
          <w:b w:val="1"/>
          <w:bCs w:val="1"/>
          <w:color w:val="auto"/>
        </w:rPr>
        <w:t>Alex Mashinsky</w:t>
      </w:r>
    </w:p>
    <w:p>
      <w:pPr>
        <w:spacing w:after="0" w:line="96" w:lineRule="exact"/>
        <w:rPr>
          <w:sz w:val="20"/>
          <w:szCs w:val="20"/>
          <w:color w:val="auto"/>
        </w:rPr>
      </w:pPr>
    </w:p>
    <w:p>
      <w:pPr>
        <w:ind w:left="8480"/>
        <w:spacing w:after="0"/>
        <w:rPr>
          <w:sz w:val="20"/>
          <w:szCs w:val="20"/>
          <w:color w:val="auto"/>
        </w:rPr>
      </w:pPr>
      <w:r>
        <w:rPr>
          <w:rFonts w:ascii="Arial" w:cs="Arial" w:eastAsia="Arial" w:hAnsi="Arial"/>
          <w:sz w:val="14"/>
          <w:szCs w:val="14"/>
          <w:b w:val="1"/>
          <w:bCs w:val="1"/>
          <w:color w:val="auto"/>
        </w:rPr>
        <w:t>Chief Executive Officer</w:t>
      </w:r>
    </w:p>
    <w:p>
      <w:pPr>
        <w:spacing w:after="0" w:line="4" w:lineRule="exact"/>
        <w:rPr>
          <w:sz w:val="20"/>
          <w:szCs w:val="20"/>
          <w:color w:val="auto"/>
        </w:rPr>
      </w:pPr>
    </w:p>
    <w:p>
      <w:pPr>
        <w:ind w:left="8320"/>
        <w:spacing w:after="0"/>
        <w:rPr>
          <w:sz w:val="20"/>
          <w:szCs w:val="20"/>
          <w:color w:val="auto"/>
        </w:rPr>
      </w:pPr>
      <w:r>
        <w:rPr>
          <w:rFonts w:ascii="Arial" w:cs="Arial" w:eastAsia="Arial" w:hAnsi="Arial"/>
          <w:sz w:val="14"/>
          <w:szCs w:val="14"/>
          <w:b w:val="1"/>
          <w:bCs w:val="1"/>
          <w:color w:val="auto"/>
        </w:rPr>
        <w:t>(Principal Executive Officer)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Alex Mashinsky and Michael Newman, or either of them, as his true and lawful attorneys-in-fact and agents, with full power of 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their substitute or substitutes may lawfully do or cause to be done by virtue hereof.</w:t>
      </w:r>
    </w:p>
    <w:p>
      <w:pPr>
        <w:spacing w:after="0" w:line="13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49"/>
        </w:trPr>
        <w:tc>
          <w:tcPr>
            <w:tcW w:w="112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204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280" w:type="dxa"/>
            <w:vAlign w:val="bottom"/>
            <w:tcBorders>
              <w:top w:val="single" w:sz="8" w:color="auto"/>
            </w:tcBorders>
          </w:tcPr>
          <w:p>
            <w:pPr>
              <w:spacing w:after="0"/>
              <w:rPr>
                <w:sz w:val="21"/>
                <w:szCs w:val="21"/>
                <w:color w:val="auto"/>
              </w:rPr>
            </w:pPr>
          </w:p>
        </w:tc>
        <w:tc>
          <w:tcPr>
            <w:tcW w:w="15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2840" w:type="dxa"/>
            <w:vAlign w:val="bottom"/>
            <w:gridSpan w:val="3"/>
          </w:tcPr>
          <w:p>
            <w:pPr>
              <w:ind w:left="58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A</w:t>
            </w:r>
            <w:r>
              <w:rPr>
                <w:rFonts w:ascii="Arial" w:cs="Arial" w:eastAsia="Arial" w:hAnsi="Arial"/>
                <w:sz w:val="14"/>
                <w:szCs w:val="14"/>
                <w:color w:val="auto"/>
              </w:rPr>
              <w:t>LEX</w:t>
            </w:r>
            <w:r>
              <w:rPr>
                <w:rFonts w:ascii="Arial" w:cs="Arial" w:eastAsia="Arial" w:hAnsi="Arial"/>
                <w:sz w:val="18"/>
                <w:szCs w:val="18"/>
                <w:i w:val="1"/>
                <w:iCs w:val="1"/>
                <w:color w:val="auto"/>
              </w:rPr>
              <w:t xml:space="preserve"> </w:t>
            </w:r>
            <w:r>
              <w:rPr>
                <w:rFonts w:ascii="Arial" w:cs="Arial" w:eastAsia="Arial" w:hAnsi="Arial"/>
                <w:sz w:val="18"/>
                <w:szCs w:val="18"/>
                <w:color w:val="auto"/>
              </w:rPr>
              <w:t>M</w:t>
            </w:r>
            <w:r>
              <w:rPr>
                <w:rFonts w:ascii="Arial" w:cs="Arial" w:eastAsia="Arial" w:hAnsi="Arial"/>
                <w:sz w:val="14"/>
                <w:szCs w:val="14"/>
                <w:color w:val="auto"/>
              </w:rPr>
              <w:t>ASHINSKY</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(Principal Executive Officer)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Alex Mashinsky</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16"/>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0"/>
        </w:trPr>
        <w:tc>
          <w:tcPr>
            <w:tcW w:w="2840" w:type="dxa"/>
            <w:vAlign w:val="bottom"/>
            <w:gridSpan w:val="3"/>
          </w:tcPr>
          <w:p>
            <w:pPr>
              <w:jc w:val="center"/>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i w:val="1"/>
                <w:iCs w:val="1"/>
                <w:color w:val="auto"/>
              </w:rPr>
              <w:t xml:space="preserve"> </w:t>
            </w:r>
            <w:r>
              <w:rPr>
                <w:rFonts w:ascii="Arial" w:cs="Arial" w:eastAsia="Arial" w:hAnsi="Arial"/>
                <w:sz w:val="18"/>
                <w:szCs w:val="18"/>
                <w:color w:val="auto"/>
              </w:rPr>
              <w:t>N</w:t>
            </w:r>
            <w:r>
              <w:rPr>
                <w:rFonts w:ascii="Arial" w:cs="Arial" w:eastAsia="Arial" w:hAnsi="Arial"/>
                <w:sz w:val="14"/>
                <w:szCs w:val="14"/>
                <w:color w:val="auto"/>
              </w:rPr>
              <w:t>EWMAN</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(Principal Financial and Accounting Officer)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Michael Newman</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85"/>
        </w:trPr>
        <w:tc>
          <w:tcPr>
            <w:tcW w:w="28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6"/>
              </w:rPr>
              <w:t xml:space="preserve">/s/ </w:t>
            </w:r>
            <w:r>
              <w:rPr>
                <w:rFonts w:ascii="Arial" w:cs="Arial" w:eastAsia="Arial" w:hAnsi="Arial"/>
                <w:sz w:val="18"/>
                <w:szCs w:val="18"/>
                <w:color w:val="auto"/>
                <w:w w:val="96"/>
              </w:rPr>
              <w:t>P</w:t>
            </w:r>
            <w:r>
              <w:rPr>
                <w:rFonts w:ascii="Arial" w:cs="Arial" w:eastAsia="Arial" w:hAnsi="Arial"/>
                <w:sz w:val="14"/>
                <w:szCs w:val="14"/>
                <w:color w:val="auto"/>
                <w:w w:val="96"/>
              </w:rPr>
              <w:t>HILIP</w:t>
            </w:r>
            <w:r>
              <w:rPr>
                <w:rFonts w:ascii="Arial" w:cs="Arial" w:eastAsia="Arial" w:hAnsi="Arial"/>
                <w:sz w:val="18"/>
                <w:szCs w:val="18"/>
                <w:i w:val="1"/>
                <w:iCs w:val="1"/>
                <w:color w:val="auto"/>
                <w:w w:val="96"/>
              </w:rPr>
              <w:t xml:space="preserve"> </w:t>
            </w:r>
            <w:r>
              <w:rPr>
                <w:rFonts w:ascii="Arial" w:cs="Arial" w:eastAsia="Arial" w:hAnsi="Arial"/>
                <w:sz w:val="18"/>
                <w:szCs w:val="18"/>
                <w:color w:val="auto"/>
                <w:w w:val="96"/>
              </w:rPr>
              <w:t>F</w:t>
            </w:r>
            <w:r>
              <w:rPr>
                <w:rFonts w:ascii="Arial" w:cs="Arial" w:eastAsia="Arial" w:hAnsi="Arial"/>
                <w:sz w:val="14"/>
                <w:szCs w:val="14"/>
                <w:color w:val="auto"/>
                <w:w w:val="96"/>
              </w:rPr>
              <w:t>ALCONE</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Philip Falcone</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31"/>
        </w:trPr>
        <w:tc>
          <w:tcPr>
            <w:tcW w:w="28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 xml:space="preserve">/s/ </w:t>
            </w:r>
            <w:r>
              <w:rPr>
                <w:rFonts w:ascii="Arial" w:cs="Arial" w:eastAsia="Arial" w:hAnsi="Arial"/>
                <w:sz w:val="18"/>
                <w:szCs w:val="18"/>
                <w:color w:val="auto"/>
                <w:w w:val="93"/>
              </w:rPr>
              <w:t>R</w:t>
            </w:r>
            <w:r>
              <w:rPr>
                <w:rFonts w:ascii="Arial" w:cs="Arial" w:eastAsia="Arial" w:hAnsi="Arial"/>
                <w:sz w:val="14"/>
                <w:szCs w:val="14"/>
                <w:color w:val="auto"/>
                <w:w w:val="93"/>
              </w:rPr>
              <w:t>USSELL</w:t>
            </w:r>
            <w:r>
              <w:rPr>
                <w:rFonts w:ascii="Arial" w:cs="Arial" w:eastAsia="Arial" w:hAnsi="Arial"/>
                <w:sz w:val="18"/>
                <w:szCs w:val="18"/>
                <w:i w:val="1"/>
                <w:iCs w:val="1"/>
                <w:color w:val="auto"/>
                <w:w w:val="93"/>
              </w:rPr>
              <w:t xml:space="preserve"> </w:t>
            </w:r>
            <w:r>
              <w:rPr>
                <w:rFonts w:ascii="Arial" w:cs="Arial" w:eastAsia="Arial" w:hAnsi="Arial"/>
                <w:sz w:val="18"/>
                <w:szCs w:val="18"/>
                <w:color w:val="auto"/>
                <w:w w:val="93"/>
              </w:rPr>
              <w:t>C. G</w:t>
            </w:r>
            <w:r>
              <w:rPr>
                <w:rFonts w:ascii="Arial" w:cs="Arial" w:eastAsia="Arial" w:hAnsi="Arial"/>
                <w:sz w:val="14"/>
                <w:szCs w:val="14"/>
                <w:color w:val="auto"/>
                <w:w w:val="93"/>
              </w:rPr>
              <w:t>ERNS</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Russell C. Gerns</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31"/>
        </w:trPr>
        <w:tc>
          <w:tcPr>
            <w:tcW w:w="28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 xml:space="preserve">/s/ </w:t>
            </w:r>
            <w:r>
              <w:rPr>
                <w:rFonts w:ascii="Arial" w:cs="Arial" w:eastAsia="Arial" w:hAnsi="Arial"/>
                <w:sz w:val="18"/>
                <w:szCs w:val="18"/>
                <w:color w:val="auto"/>
                <w:w w:val="97"/>
              </w:rPr>
              <w:t>J</w:t>
            </w:r>
            <w:r>
              <w:rPr>
                <w:rFonts w:ascii="Arial" w:cs="Arial" w:eastAsia="Arial" w:hAnsi="Arial"/>
                <w:sz w:val="14"/>
                <w:szCs w:val="14"/>
                <w:color w:val="auto"/>
                <w:w w:val="97"/>
              </w:rPr>
              <w:t>AMES</w:t>
            </w:r>
            <w:r>
              <w:rPr>
                <w:rFonts w:ascii="Arial" w:cs="Arial" w:eastAsia="Arial" w:hAnsi="Arial"/>
                <w:sz w:val="18"/>
                <w:szCs w:val="18"/>
                <w:i w:val="1"/>
                <w:iCs w:val="1"/>
                <w:color w:val="auto"/>
                <w:w w:val="97"/>
              </w:rPr>
              <w:t xml:space="preserve"> </w:t>
            </w:r>
            <w:r>
              <w:rPr>
                <w:rFonts w:ascii="Arial" w:cs="Arial" w:eastAsia="Arial" w:hAnsi="Arial"/>
                <w:sz w:val="18"/>
                <w:szCs w:val="18"/>
                <w:color w:val="auto"/>
                <w:w w:val="97"/>
              </w:rPr>
              <w:t>L</w:t>
            </w:r>
            <w:r>
              <w:rPr>
                <w:rFonts w:ascii="Arial" w:cs="Arial" w:eastAsia="Arial" w:hAnsi="Arial"/>
                <w:sz w:val="14"/>
                <w:szCs w:val="14"/>
                <w:color w:val="auto"/>
                <w:w w:val="97"/>
              </w:rPr>
              <w:t>EDWITH</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James Ledwith</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98"/>
        </w:trPr>
        <w:tc>
          <w:tcPr>
            <w:tcW w:w="28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R</w:t>
            </w:r>
            <w:r>
              <w:rPr>
                <w:rFonts w:ascii="Arial" w:cs="Arial" w:eastAsia="Arial" w:hAnsi="Arial"/>
                <w:sz w:val="14"/>
                <w:szCs w:val="14"/>
                <w:i w:val="1"/>
                <w:iCs w:val="1"/>
                <w:color w:val="auto"/>
                <w:w w:val="90"/>
              </w:rPr>
              <w:t>OBERT</w:t>
            </w:r>
            <w:r>
              <w:rPr>
                <w:rFonts w:ascii="Arial" w:cs="Arial" w:eastAsia="Arial" w:hAnsi="Arial"/>
                <w:sz w:val="18"/>
                <w:szCs w:val="18"/>
                <w:i w:val="1"/>
                <w:iCs w:val="1"/>
                <w:color w:val="auto"/>
                <w:w w:val="90"/>
              </w:rPr>
              <w:t xml:space="preserve"> P</w:t>
            </w:r>
            <w:r>
              <w:rPr>
                <w:rFonts w:ascii="Arial" w:cs="Arial" w:eastAsia="Arial" w:hAnsi="Arial"/>
                <w:sz w:val="14"/>
                <w:szCs w:val="14"/>
                <w:i w:val="1"/>
                <w:iCs w:val="1"/>
                <w:color w:val="auto"/>
                <w:w w:val="90"/>
              </w:rPr>
              <w:t>ONS</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Robert Pons</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31"/>
        </w:trPr>
        <w:tc>
          <w:tcPr>
            <w:tcW w:w="28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 xml:space="preserve">/s/ </w:t>
            </w:r>
            <w:r>
              <w:rPr>
                <w:rFonts w:ascii="Arial" w:cs="Arial" w:eastAsia="Arial" w:hAnsi="Arial"/>
                <w:sz w:val="18"/>
                <w:szCs w:val="18"/>
                <w:color w:val="auto"/>
                <w:w w:val="94"/>
              </w:rPr>
              <w:t>S</w:t>
            </w:r>
            <w:r>
              <w:rPr>
                <w:rFonts w:ascii="Arial" w:cs="Arial" w:eastAsia="Arial" w:hAnsi="Arial"/>
                <w:sz w:val="14"/>
                <w:szCs w:val="14"/>
                <w:color w:val="auto"/>
                <w:w w:val="94"/>
              </w:rPr>
              <w:t>UE</w:t>
            </w:r>
            <w:r>
              <w:rPr>
                <w:rFonts w:ascii="Arial" w:cs="Arial" w:eastAsia="Arial" w:hAnsi="Arial"/>
                <w:sz w:val="18"/>
                <w:szCs w:val="18"/>
                <w:i w:val="1"/>
                <w:iCs w:val="1"/>
                <w:color w:val="auto"/>
                <w:w w:val="94"/>
              </w:rPr>
              <w:t xml:space="preserve"> </w:t>
            </w:r>
            <w:r>
              <w:rPr>
                <w:rFonts w:ascii="Arial" w:cs="Arial" w:eastAsia="Arial" w:hAnsi="Arial"/>
                <w:sz w:val="18"/>
                <w:szCs w:val="18"/>
                <w:color w:val="auto"/>
                <w:w w:val="94"/>
              </w:rPr>
              <w:t>S</w:t>
            </w:r>
            <w:r>
              <w:rPr>
                <w:rFonts w:ascii="Arial" w:cs="Arial" w:eastAsia="Arial" w:hAnsi="Arial"/>
                <w:sz w:val="14"/>
                <w:szCs w:val="14"/>
                <w:color w:val="auto"/>
                <w:w w:val="94"/>
              </w:rPr>
              <w:t>WENSON</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Sue Swenson</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31"/>
        </w:trPr>
        <w:tc>
          <w:tcPr>
            <w:tcW w:w="28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w:t>
            </w:r>
            <w:r>
              <w:rPr>
                <w:rFonts w:ascii="Arial" w:cs="Arial" w:eastAsia="Arial" w:hAnsi="Arial"/>
                <w:sz w:val="14"/>
                <w:szCs w:val="14"/>
                <w:i w:val="1"/>
                <w:iCs w:val="1"/>
                <w:color w:val="auto"/>
                <w:w w:val="93"/>
              </w:rPr>
              <w:t>AVID</w:t>
            </w:r>
            <w:r>
              <w:rPr>
                <w:rFonts w:ascii="Arial" w:cs="Arial" w:eastAsia="Arial" w:hAnsi="Arial"/>
                <w:sz w:val="18"/>
                <w:szCs w:val="18"/>
                <w:i w:val="1"/>
                <w:iCs w:val="1"/>
                <w:color w:val="auto"/>
                <w:w w:val="93"/>
              </w:rPr>
              <w:t xml:space="preserve"> A. W</w:t>
            </w:r>
            <w:r>
              <w:rPr>
                <w:rFonts w:ascii="Arial" w:cs="Arial" w:eastAsia="Arial" w:hAnsi="Arial"/>
                <w:sz w:val="14"/>
                <w:szCs w:val="14"/>
                <w:i w:val="1"/>
                <w:iCs w:val="1"/>
                <w:color w:val="auto"/>
                <w:w w:val="93"/>
              </w:rPr>
              <w:t>ERNER</w:t>
            </w:r>
          </w:p>
        </w:tc>
        <w:tc>
          <w:tcPr>
            <w:tcW w:w="38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560" w:type="dxa"/>
            <w:vAlign w:val="bottom"/>
            <w:gridSpan w:val="3"/>
          </w:tcPr>
          <w:p>
            <w:pPr>
              <w:ind w:left="500"/>
              <w:spacing w:after="0"/>
              <w:rPr>
                <w:sz w:val="20"/>
                <w:szCs w:val="20"/>
                <w:color w:val="auto"/>
              </w:rPr>
            </w:pPr>
            <w:r>
              <w:rPr>
                <w:rFonts w:ascii="Arial" w:cs="Arial" w:eastAsia="Arial" w:hAnsi="Arial"/>
                <w:sz w:val="18"/>
                <w:szCs w:val="18"/>
                <w:color w:val="auto"/>
                <w:w w:val="90"/>
              </w:rPr>
              <w:t>March 9, 2015</w:t>
            </w:r>
          </w:p>
        </w:tc>
      </w:tr>
      <w:tr>
        <w:trPr>
          <w:trHeight w:val="27"/>
        </w:trPr>
        <w:tc>
          <w:tcPr>
            <w:tcW w:w="1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184"/>
        </w:trPr>
        <w:tc>
          <w:tcPr>
            <w:tcW w:w="2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David A. Werner</w:t>
            </w:r>
          </w:p>
        </w:tc>
        <w:tc>
          <w:tcPr>
            <w:tcW w:w="2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525"/>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80" w:type="dxa"/>
            <w:vAlign w:val="bottom"/>
            <w:gridSpan w:val="3"/>
          </w:tcPr>
          <w:p>
            <w:pPr>
              <w:ind w:left="2780"/>
              <w:spacing w:after="0"/>
              <w:rPr>
                <w:sz w:val="20"/>
                <w:szCs w:val="20"/>
                <w:color w:val="auto"/>
              </w:rPr>
            </w:pPr>
            <w:r>
              <w:rPr>
                <w:rFonts w:ascii="Arial" w:cs="Arial" w:eastAsia="Arial" w:hAnsi="Arial"/>
                <w:sz w:val="18"/>
                <w:szCs w:val="18"/>
                <w:color w:val="auto"/>
              </w:rPr>
              <w:t>44</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gridSpan w:val="9"/>
            <w:shd w:val="clear" w:color="auto" w:fill="CCEEFF"/>
          </w:tcPr>
          <w:p>
            <w:pPr>
              <w:ind w:left="40"/>
              <w:spacing w:after="0"/>
              <w:rPr>
                <w:rFonts w:ascii="Arial" w:cs="Arial" w:eastAsia="Arial" w:hAnsi="Arial"/>
                <w:sz w:val="18"/>
                <w:szCs w:val="18"/>
                <w:color w:val="0000EE"/>
              </w:rPr>
            </w:pPr>
            <w:hyperlink w:anchor="page45">
              <w:r>
                <w:rPr>
                  <w:rFonts w:ascii="Arial" w:cs="Arial" w:eastAsia="Arial" w:hAnsi="Arial"/>
                  <w:sz w:val="18"/>
                  <w:szCs w:val="18"/>
                  <w:color w:val="0000EE"/>
                </w:rPr>
                <w:t>Report of Independent Registered Public Accounting Firm</w:t>
              </w:r>
            </w:hyperlink>
          </w:p>
        </w:tc>
        <w:tc>
          <w:tcPr>
            <w:tcW w:w="58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F- 2</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920" w:type="dxa"/>
            <w:vAlign w:val="bottom"/>
            <w:gridSpan w:val="9"/>
          </w:tcPr>
          <w:p>
            <w:pPr>
              <w:ind w:left="40"/>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Consolidated Balance Sheets</w:t>
              </w:r>
            </w:hyperlink>
          </w:p>
        </w:tc>
        <w:tc>
          <w:tcPr>
            <w:tcW w:w="586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rPr>
            </w:pPr>
            <w:hyperlink w:anchor="page46">
              <w:r>
                <w:rPr>
                  <w:rFonts w:ascii="Arial" w:cs="Arial" w:eastAsia="Arial" w:hAnsi="Arial"/>
                  <w:sz w:val="18"/>
                  <w:szCs w:val="18"/>
                  <w:color w:val="0000EE"/>
                </w:rPr>
                <w:t>F- 3</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6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9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Consolidated Statements of Operations</w:t>
              </w:r>
            </w:hyperlink>
          </w:p>
        </w:tc>
        <w:tc>
          <w:tcPr>
            <w:tcW w:w="58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F- 4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920" w:type="dxa"/>
            <w:vAlign w:val="bottom"/>
            <w:gridSpan w:val="9"/>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Comprehensive Loss</w:t>
              </w:r>
            </w:hyperlink>
          </w:p>
        </w:tc>
        <w:tc>
          <w:tcPr>
            <w:tcW w:w="586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F- 5</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6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9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Stockholders’ Equity</w:t>
              </w:r>
            </w:hyperlink>
          </w:p>
        </w:tc>
        <w:tc>
          <w:tcPr>
            <w:tcW w:w="58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F- 6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920" w:type="dxa"/>
            <w:vAlign w:val="bottom"/>
            <w:gridSpan w:val="9"/>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Consolidated Statements of Cash Flows</w:t>
              </w:r>
            </w:hyperlink>
          </w:p>
        </w:tc>
        <w:tc>
          <w:tcPr>
            <w:tcW w:w="586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F- 7</w:t>
              </w:r>
            </w:hyperlink>
          </w:p>
        </w:tc>
      </w:tr>
      <w:tr>
        <w:trPr>
          <w:trHeight w:val="48"/>
        </w:trPr>
        <w:tc>
          <w:tcPr>
            <w:tcW w:w="40" w:type="dxa"/>
            <w:vAlign w:val="bottom"/>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60" w:type="dxa"/>
            <w:vAlign w:val="bottom"/>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r>
      <w:tr>
        <w:trPr>
          <w:trHeight w:val="203"/>
        </w:trPr>
        <w:tc>
          <w:tcPr>
            <w:tcW w:w="4920" w:type="dxa"/>
            <w:vAlign w:val="bottom"/>
            <w:gridSpan w:val="9"/>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Notes to Consolidated Financial Statements</w:t>
              </w:r>
            </w:hyperlink>
          </w:p>
        </w:tc>
        <w:tc>
          <w:tcPr>
            <w:tcW w:w="58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F- 8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58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r>
      <w:tr>
        <w:trPr>
          <w:trHeight w:val="203"/>
        </w:trPr>
        <w:tc>
          <w:tcPr>
            <w:tcW w:w="4920" w:type="dxa"/>
            <w:vAlign w:val="bottom"/>
            <w:gridSpan w:val="9"/>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Financial Statement Schedule II</w:t>
              </w:r>
            </w:hyperlink>
          </w:p>
        </w:tc>
        <w:tc>
          <w:tcPr>
            <w:tcW w:w="5860" w:type="dxa"/>
            <w:vAlign w:val="bottom"/>
          </w:tcPr>
          <w:p>
            <w:pPr>
              <w:spacing w:after="0"/>
              <w:rPr>
                <w:sz w:val="17"/>
                <w:szCs w:val="17"/>
                <w:color w:val="auto"/>
              </w:rPr>
            </w:pPr>
          </w:p>
        </w:tc>
        <w:tc>
          <w:tcPr>
            <w:tcW w:w="640" w:type="dxa"/>
            <w:vAlign w:val="bottom"/>
            <w:gridSpan w:val="3"/>
          </w:tcPr>
          <w:p>
            <w:pPr>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F- 31</w:t>
              </w:r>
            </w:hyperlink>
          </w:p>
        </w:tc>
      </w:tr>
      <w:tr>
        <w:trPr>
          <w:trHeight w:val="507"/>
        </w:trPr>
        <w:tc>
          <w:tcPr>
            <w:tcW w:w="40" w:type="dxa"/>
            <w:vAlign w:val="bottom"/>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60" w:type="dxa"/>
            <w:vAlign w:val="bottom"/>
          </w:tcPr>
          <w:p>
            <w:pPr>
              <w:ind w:left="640"/>
              <w:spacing w:after="0"/>
              <w:rPr>
                <w:sz w:val="20"/>
                <w:szCs w:val="20"/>
                <w:color w:val="auto"/>
              </w:rPr>
            </w:pPr>
            <w:r>
              <w:rPr>
                <w:rFonts w:ascii="Arial" w:cs="Arial" w:eastAsia="Arial" w:hAnsi="Arial"/>
                <w:sz w:val="18"/>
                <w:szCs w:val="18"/>
                <w:color w:val="auto"/>
              </w:rPr>
              <w:t>F- 1</w:t>
            </w:r>
          </w:p>
        </w:tc>
        <w:tc>
          <w:tcPr>
            <w:tcW w:w="380" w:type="dxa"/>
            <w:vAlign w:val="bottom"/>
            <w:tcBorders>
              <w:top w:val="single" w:sz="8" w:color="0000EE"/>
            </w:tcBorders>
            <w:gridSpan w:val="2"/>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Novatel Wireless, Inc.</w:t>
      </w:r>
    </w:p>
    <w:p>
      <w:pPr>
        <w:spacing w:after="0" w:line="76"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We have audited the accompanying consolidated balance sheets of Novatel Wireless, Inc. as of December 31, 2014 and 2013, and the related consolidated statements of operations, comprehensive loss, stockholders’ equity and cash flows for each of the three years in the period ended December 31, 2014.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00"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Novatel Wireless, Inc. at December 31, 2014 and 2013, and the consolidated results of its operations and its cash flows for each of the three years in the period ended December 31, 2014,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00" w:lineRule="exact"/>
        <w:rPr>
          <w:sz w:val="20"/>
          <w:szCs w:val="20"/>
          <w:color w:val="auto"/>
        </w:rPr>
      </w:pPr>
    </w:p>
    <w:p>
      <w:pPr>
        <w:ind w:right="22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Novatel Wireless, Inc.’s internal control over financial reporting as of December 31, 2014, based on the criteria established in Internal Control-Integrated Framework issued by the Committee of Sponsoring Organizations of the Treadway Commission (2013 framework) and our report dated March 9, 2015 expressed an unqualified opinion thereon.</w:t>
      </w:r>
    </w:p>
    <w:p>
      <w:pPr>
        <w:spacing w:after="0" w:line="21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RNST</w:t>
      </w:r>
      <w:r>
        <w:rPr>
          <w:rFonts w:ascii="Arial" w:cs="Arial" w:eastAsia="Arial" w:hAnsi="Arial"/>
          <w:sz w:val="18"/>
          <w:szCs w:val="18"/>
          <w:color w:val="auto"/>
        </w:rPr>
        <w:t xml:space="preserve"> &amp; Y</w:t>
      </w:r>
      <w:r>
        <w:rPr>
          <w:rFonts w:ascii="Arial" w:cs="Arial" w:eastAsia="Arial" w:hAnsi="Arial"/>
          <w:sz w:val="14"/>
          <w:szCs w:val="14"/>
          <w:color w:val="auto"/>
        </w:rPr>
        <w:t>OUNG</w:t>
      </w:r>
      <w:r>
        <w:rPr>
          <w:rFonts w:ascii="Arial" w:cs="Arial" w:eastAsia="Arial" w:hAnsi="Arial"/>
          <w:sz w:val="18"/>
          <w:szCs w:val="18"/>
          <w:color w:val="auto"/>
        </w:rPr>
        <w:t xml:space="preserve">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As of December 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17,853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16,612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receivable, net of allowance for doubtful accounts of $217 in 2014 and $2,449 in 2013</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24,213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39,985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27,793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7,912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5,762</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95,629</w:t>
            </w:r>
          </w:p>
        </w:tc>
        <w:tc>
          <w:tcPr>
            <w:tcW w:w="0" w:type="dxa"/>
            <w:vAlign w:val="bottom"/>
          </w:tcPr>
          <w:p>
            <w:pPr>
              <w:spacing w:after="0"/>
              <w:rPr>
                <w:sz w:val="1"/>
                <w:szCs w:val="1"/>
                <w:color w:val="auto"/>
              </w:rPr>
            </w:pPr>
          </w:p>
        </w:tc>
      </w:tr>
      <w:tr>
        <w:trPr>
          <w:trHeight w:val="169"/>
        </w:trPr>
        <w:tc>
          <w:tcPr>
            <w:tcW w:w="83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9,901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Marketable securities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3,443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 of accumulated amortization of $14,050 in 2014 and $12,983 in 2013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95,020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111,465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34,540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24,538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Current portion of shareholder litigation</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4,326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margin loan facility</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2,566</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58,384</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54,701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Revolving credit facility</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5,158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Non-current portion of shareholder litigation</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66,549</w:t>
            </w:r>
          </w:p>
        </w:tc>
        <w:tc>
          <w:tcPr>
            <w:tcW w:w="0" w:type="dxa"/>
            <w:vAlign w:val="bottom"/>
          </w:tcPr>
          <w:p>
            <w:pPr>
              <w:spacing w:after="0"/>
              <w:rPr>
                <w:sz w:val="1"/>
                <w:szCs w:val="1"/>
                <w:color w:val="auto"/>
              </w:rPr>
            </w:pPr>
          </w:p>
        </w:tc>
      </w:tr>
      <w:tr>
        <w:trPr>
          <w:trHeight w:val="169"/>
        </w:trPr>
        <w:tc>
          <w:tcPr>
            <w:tcW w:w="83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Preferred stock, par value $0.001; 2,000 shares authorized and none outstanding</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7"/>
              </w:rPr>
              <w:t>Common stock, par value $0.001; 100,000 shares authorized, 45,742 and 34,097 shares issued and outstanding at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2014 and 2013,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466,665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441,368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deficit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(411,165)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(371,491)</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55,546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69,916</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Treasury stock at cost; 2,436 common shares at December 31, 2014 and 2013</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30,546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44,916</w:t>
            </w:r>
          </w:p>
        </w:tc>
        <w:tc>
          <w:tcPr>
            <w:tcW w:w="0" w:type="dxa"/>
            <w:vAlign w:val="bottom"/>
          </w:tcPr>
          <w:p>
            <w:pPr>
              <w:spacing w:after="0"/>
              <w:rPr>
                <w:sz w:val="1"/>
                <w:szCs w:val="1"/>
                <w:color w:val="auto"/>
              </w:rPr>
            </w:pPr>
          </w:p>
        </w:tc>
      </w:tr>
      <w:tr>
        <w:trPr>
          <w:trHeight w:val="217"/>
        </w:trPr>
        <w:tc>
          <w:tcPr>
            <w:tcW w:w="8340" w:type="dxa"/>
            <w:vAlign w:val="bottom"/>
          </w:tcPr>
          <w:p>
            <w:pPr>
              <w:ind w:left="146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95,020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111,465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185,245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344,288</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Cost of net revenues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148,198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266,759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271,845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37,047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60,422</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20,898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27,501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22,668</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Goodwill and intangible assets impairment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49,521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purchased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Shareholder litigation loss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64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72,620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111,515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161,186</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(88,743)</w:t>
            </w: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(88,655)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(43,413)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(89,266)</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Recognition of beneficial conversion feature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(39,674)</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(43,413)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(89,266)</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Per share data:</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shareholders: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w w:val="97"/>
              </w:rPr>
              <w:t>Weighted average shares used in computation of basic and diluted net loss per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6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attributable to common shareholders: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32,852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F- 4</w:t>
      </w:r>
    </w:p>
    <w:p>
      <w:pPr>
        <w:sectPr>
          <w:pgSz w:w="11900" w:h="16838" w:orient="portrait"/>
          <w:cols w:equalWidth="0" w:num="1">
            <w:col w:w="11320"/>
          </w:cols>
          <w:pgMar w:left="24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(39,674)</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(39,679)</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(89,244)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F- 5</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6" w:lineRule="exact"/>
        <w:rPr>
          <w:sz w:val="20"/>
          <w:szCs w:val="20"/>
          <w:color w:val="auto"/>
        </w:rPr>
      </w:pPr>
    </w:p>
    <w:tbl>
      <w:tblPr>
        <w:tblLayout w:type="fixed"/>
        <w:tblInd w:w="298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4"/>
              </w:rPr>
              <w:t>Additional</w:t>
            </w: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8"/>
              </w:rPr>
              <w:t>Other</w:t>
            </w:r>
          </w:p>
        </w:tc>
        <w:tc>
          <w:tcPr>
            <w:tcW w:w="1200" w:type="dxa"/>
            <w:vAlign w:val="bottom"/>
          </w:tcPr>
          <w:p>
            <w:pPr>
              <w:jc w:val="center"/>
              <w:ind w:left="159"/>
              <w:spacing w:after="0"/>
              <w:rPr>
                <w:sz w:val="20"/>
                <w:szCs w:val="20"/>
                <w:color w:val="auto"/>
              </w:rPr>
            </w:pPr>
            <w:r>
              <w:rPr>
                <w:rFonts w:ascii="Arial" w:cs="Arial" w:eastAsia="Arial" w:hAnsi="Arial"/>
                <w:sz w:val="16"/>
                <w:szCs w:val="16"/>
                <w:b w:val="1"/>
                <w:bCs w:val="1"/>
                <w:color w:val="auto"/>
                <w:w w:val="94"/>
              </w:rPr>
              <w:t>Total</w:t>
            </w:r>
          </w:p>
        </w:tc>
      </w:tr>
      <w:tr>
        <w:trPr>
          <w:trHeight w:val="210"/>
        </w:trPr>
        <w:tc>
          <w:tcPr>
            <w:tcW w:w="1760" w:type="dxa"/>
            <w:vAlign w:val="bottom"/>
            <w:gridSpan w:val="2"/>
          </w:tcPr>
          <w:p>
            <w:pPr>
              <w:ind w:left="360"/>
              <w:spacing w:after="0"/>
              <w:rPr>
                <w:sz w:val="20"/>
                <w:szCs w:val="20"/>
                <w:color w:val="auto"/>
              </w:rPr>
            </w:pPr>
            <w:r>
              <w:rPr>
                <w:rFonts w:ascii="Arial" w:cs="Arial" w:eastAsia="Arial" w:hAnsi="Arial"/>
                <w:sz w:val="16"/>
                <w:szCs w:val="16"/>
                <w:b w:val="1"/>
                <w:bCs w:val="1"/>
                <w:color w:val="auto"/>
              </w:rPr>
              <w:t>Common Stock</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3"/>
              </w:rPr>
              <w:t>Paid-in</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1"/>
              </w:rPr>
              <w:t>Treasury</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0" w:type="dxa"/>
            <w:vAlign w:val="bottom"/>
          </w:tcPr>
          <w:p>
            <w:pPr>
              <w:jc w:val="center"/>
              <w:ind w:left="159"/>
              <w:spacing w:after="0"/>
              <w:rPr>
                <w:sz w:val="20"/>
                <w:szCs w:val="20"/>
                <w:color w:val="auto"/>
              </w:rPr>
            </w:pPr>
            <w:r>
              <w:rPr>
                <w:rFonts w:ascii="Arial" w:cs="Arial" w:eastAsia="Arial" w:hAnsi="Arial"/>
                <w:sz w:val="16"/>
                <w:szCs w:val="16"/>
                <w:b w:val="1"/>
                <w:bCs w:val="1"/>
                <w:color w:val="auto"/>
                <w:w w:val="90"/>
              </w:rPr>
              <w:t>Stockholders’</w:t>
            </w:r>
          </w:p>
        </w:tc>
      </w:tr>
      <w:tr>
        <w:trPr>
          <w:trHeight w:val="33"/>
        </w:trPr>
        <w:tc>
          <w:tcPr>
            <w:tcW w:w="8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1"/>
        </w:trPr>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Shares</w:t>
            </w:r>
          </w:p>
        </w:tc>
        <w:tc>
          <w:tcPr>
            <w:tcW w:w="920" w:type="dxa"/>
            <w:vAlign w:val="bottom"/>
          </w:tcPr>
          <w:p>
            <w:pPr>
              <w:ind w:left="220"/>
              <w:spacing w:after="0"/>
              <w:rPr>
                <w:sz w:val="20"/>
                <w:szCs w:val="20"/>
                <w:color w:val="auto"/>
              </w:rPr>
            </w:pPr>
            <w:r>
              <w:rPr>
                <w:rFonts w:ascii="Arial" w:cs="Arial" w:eastAsia="Arial" w:hAnsi="Arial"/>
                <w:sz w:val="16"/>
                <w:szCs w:val="16"/>
                <w:b w:val="1"/>
                <w:bCs w:val="1"/>
                <w:color w:val="auto"/>
              </w:rPr>
              <w:t>Amount</w:t>
            </w:r>
          </w:p>
        </w:tc>
        <w:tc>
          <w:tcPr>
            <w:tcW w:w="1300" w:type="dxa"/>
            <w:vAlign w:val="bottom"/>
          </w:tcPr>
          <w:p>
            <w:pPr>
              <w:jc w:val="center"/>
              <w:ind w:left="19"/>
              <w:spacing w:after="0"/>
              <w:rPr>
                <w:sz w:val="20"/>
                <w:szCs w:val="20"/>
                <w:color w:val="auto"/>
              </w:rPr>
            </w:pPr>
            <w:r>
              <w:rPr>
                <w:rFonts w:ascii="Arial" w:cs="Arial" w:eastAsia="Arial" w:hAnsi="Arial"/>
                <w:sz w:val="16"/>
                <w:szCs w:val="16"/>
                <w:b w:val="1"/>
                <w:bCs w:val="1"/>
                <w:color w:val="auto"/>
                <w:w w:val="97"/>
              </w:rPr>
              <w:t>Capital</w:t>
            </w: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Deficit</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1200" w:type="dxa"/>
            <w:vAlign w:val="bottom"/>
          </w:tcPr>
          <w:p>
            <w:pPr>
              <w:jc w:val="center"/>
              <w:ind w:left="179"/>
              <w:spacing w:after="0"/>
              <w:rPr>
                <w:sz w:val="20"/>
                <w:szCs w:val="20"/>
                <w:color w:val="auto"/>
              </w:rPr>
            </w:pPr>
            <w:r>
              <w:rPr>
                <w:rFonts w:ascii="Arial" w:cs="Arial" w:eastAsia="Arial" w:hAnsi="Arial"/>
                <w:sz w:val="16"/>
                <w:szCs w:val="16"/>
                <w:b w:val="1"/>
                <w:bCs w:val="1"/>
                <w:color w:val="auto"/>
                <w:w w:val="93"/>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37"/>
        </w:trPr>
        <w:tc>
          <w:tcPr>
            <w:tcW w:w="2940" w:type="dxa"/>
            <w:vAlign w:val="bottom"/>
          </w:tcPr>
          <w:p>
            <w:pPr>
              <w:spacing w:after="0"/>
              <w:rPr>
                <w:sz w:val="20"/>
                <w:szCs w:val="20"/>
                <w:color w:val="auto"/>
              </w:rPr>
            </w:pPr>
            <w:r>
              <w:rPr>
                <w:rFonts w:ascii="Arial" w:cs="Arial" w:eastAsia="Arial" w:hAnsi="Arial"/>
                <w:sz w:val="16"/>
                <w:szCs w:val="16"/>
                <w:color w:val="auto"/>
              </w:rPr>
              <w:t>Balance, December 31, 2011</w:t>
            </w: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6"/>
                <w:szCs w:val="16"/>
                <w:color w:val="auto"/>
              </w:rPr>
              <w:t>32,262</w:t>
            </w:r>
          </w:p>
        </w:tc>
        <w:tc>
          <w:tcPr>
            <w:tcW w:w="140" w:type="dxa"/>
            <w:vAlign w:val="bottom"/>
          </w:tcPr>
          <w:p>
            <w:pPr>
              <w:spacing w:after="0"/>
              <w:rPr>
                <w:sz w:val="20"/>
                <w:szCs w:val="20"/>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rPr>
              <w:t>Exercise of stock options, vesting of</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w w:val="89"/>
              </w:rPr>
              <w:t>restricted stock units and shares issued under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1,393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rPr>
              <w:t>Taxes withheld on net settled vesting of</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vMerge w:val="restart"/>
          </w:tcPr>
          <w:p>
            <w:pPr>
              <w:spacing w:after="0"/>
              <w:rPr>
                <w:sz w:val="20"/>
                <w:szCs w:val="20"/>
                <w:color w:val="auto"/>
              </w:rPr>
            </w:pPr>
            <w:r>
              <w:rPr>
                <w:rFonts w:ascii="Arial" w:cs="Arial" w:eastAsia="Arial" w:hAnsi="Arial"/>
                <w:sz w:val="16"/>
                <w:szCs w:val="16"/>
                <w:color w:val="auto"/>
              </w:rPr>
              <w:t>Balance, December 31, 2012</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vMerge w:val="continue"/>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33,655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rPr>
              <w:t>Exercise of stock options and vesting of</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442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rPr>
              <w:t>Taxes withheld on net settled vesting of</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vMerge w:val="restart"/>
          </w:tcPr>
          <w:p>
            <w:pPr>
              <w:spacing w:after="0"/>
              <w:rPr>
                <w:sz w:val="20"/>
                <w:szCs w:val="20"/>
                <w:color w:val="auto"/>
              </w:rPr>
            </w:pPr>
            <w:r>
              <w:rPr>
                <w:rFonts w:ascii="Arial" w:cs="Arial" w:eastAsia="Arial" w:hAnsi="Arial"/>
                <w:sz w:val="16"/>
                <w:szCs w:val="16"/>
                <w:color w:val="auto"/>
              </w:rPr>
              <w:t>Balance, December 31, 2013</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vMerge w:val="continue"/>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34,097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rPr>
              <w:t>Exercise of stock options, vesting of</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w w:val="89"/>
              </w:rPr>
              <w:t>restricted stock units and shares issued under</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employee stock purchase plan</w:t>
            </w: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689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rPr>
              <w:t>Taxes withheld on net settled vesting of</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restricted stock units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w w:val="97"/>
              </w:rPr>
              <w:t>Issuance of common shares in connection</w:t>
            </w:r>
          </w:p>
        </w:tc>
        <w:tc>
          <w:tcPr>
            <w:tcW w:w="800" w:type="dxa"/>
            <w:vAlign w:val="bottom"/>
            <w:vMerge w:val="restart"/>
          </w:tcPr>
          <w:p>
            <w:pPr>
              <w:jc w:val="right"/>
              <w:ind w:right="37"/>
              <w:spacing w:after="0"/>
              <w:rPr>
                <w:sz w:val="20"/>
                <w:szCs w:val="20"/>
                <w:color w:val="auto"/>
              </w:rPr>
            </w:pPr>
            <w:r>
              <w:rPr>
                <w:rFonts w:ascii="Arial" w:cs="Arial" w:eastAsia="Arial" w:hAnsi="Arial"/>
                <w:sz w:val="18"/>
                <w:szCs w:val="18"/>
                <w:color w:val="auto"/>
              </w:rPr>
              <w:t>2,407</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6"/>
                <w:szCs w:val="16"/>
                <w:color w:val="auto"/>
              </w:rPr>
              <w:t>with litigation settlement</w:t>
            </w: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Arial" w:cs="Arial" w:eastAsia="Arial" w:hAnsi="Arial"/>
                <w:sz w:val="16"/>
                <w:szCs w:val="16"/>
                <w:color w:val="auto"/>
                <w:w w:val="97"/>
              </w:rPr>
              <w:t>Issuance of common shares in connection</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w w:val="98"/>
              </w:rPr>
              <w:t>with financing transaction, net of issuance</w:t>
            </w:r>
          </w:p>
        </w:tc>
        <w:tc>
          <w:tcPr>
            <w:tcW w:w="800" w:type="dxa"/>
            <w:vAlign w:val="bottom"/>
            <w:vMerge w:val="restart"/>
          </w:tcPr>
          <w:p>
            <w:pPr>
              <w:jc w:val="right"/>
              <w:ind w:right="37"/>
              <w:spacing w:after="0"/>
              <w:rPr>
                <w:sz w:val="20"/>
                <w:szCs w:val="20"/>
                <w:color w:val="auto"/>
              </w:rPr>
            </w:pPr>
            <w:r>
              <w:rPr>
                <w:rFonts w:ascii="Arial" w:cs="Arial" w:eastAsia="Arial" w:hAnsi="Arial"/>
                <w:sz w:val="18"/>
                <w:szCs w:val="18"/>
                <w:color w:val="auto"/>
              </w:rPr>
              <w:t>7,363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6"/>
                <w:szCs w:val="16"/>
                <w:color w:val="auto"/>
              </w:rPr>
              <w:t>costs</w:t>
            </w: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Arial" w:cs="Arial" w:eastAsia="Arial" w:hAnsi="Arial"/>
                <w:sz w:val="16"/>
                <w:szCs w:val="16"/>
                <w:color w:val="auto"/>
                <w:w w:val="97"/>
              </w:rPr>
              <w:t>Issuance of common shares in connection</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Arial" w:cs="Arial" w:eastAsia="Arial" w:hAnsi="Arial"/>
                <w:sz w:val="16"/>
                <w:szCs w:val="16"/>
                <w:color w:val="auto"/>
              </w:rPr>
              <w:t>with the conversion of Series C preferred</w:t>
            </w:r>
          </w:p>
        </w:tc>
        <w:tc>
          <w:tcPr>
            <w:tcW w:w="800" w:type="dxa"/>
            <w:vAlign w:val="bottom"/>
            <w:vMerge w:val="restart"/>
          </w:tcPr>
          <w:p>
            <w:pPr>
              <w:jc w:val="right"/>
              <w:ind w:right="37"/>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6"/>
                <w:szCs w:val="16"/>
                <w:color w:val="auto"/>
              </w:rPr>
              <w:t>shares</w:t>
            </w: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Arial" w:cs="Arial" w:eastAsia="Arial" w:hAnsi="Arial"/>
                <w:sz w:val="16"/>
                <w:szCs w:val="16"/>
                <w:color w:val="auto"/>
                <w:w w:val="95"/>
              </w:rPr>
              <w:t>Beneficial conversion feature of convertible</w:t>
            </w: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520" w:type="dxa"/>
            <w:vAlign w:val="bottom"/>
            <w:vMerge w:val="restart"/>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20"/>
                <w:szCs w:val="20"/>
                <w:color w:val="auto"/>
              </w:rPr>
            </w:pPr>
            <w:r>
              <w:rPr>
                <w:rFonts w:ascii="Arial" w:cs="Arial" w:eastAsia="Arial" w:hAnsi="Arial"/>
                <w:sz w:val="16"/>
                <w:szCs w:val="16"/>
                <w:color w:val="auto"/>
              </w:rPr>
              <w:t>Series C preferred shares</w:t>
            </w:r>
          </w:p>
        </w:tc>
        <w:tc>
          <w:tcPr>
            <w:tcW w:w="9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940" w:type="dxa"/>
            <w:vAlign w:val="bottom"/>
          </w:tcPr>
          <w:p>
            <w:pPr>
              <w:spacing w:after="0"/>
              <w:rPr>
                <w:sz w:val="20"/>
                <w:szCs w:val="20"/>
                <w:color w:val="auto"/>
              </w:rPr>
            </w:pPr>
            <w:r>
              <w:rPr>
                <w:rFonts w:ascii="Arial" w:cs="Arial" w:eastAsia="Arial" w:hAnsi="Arial"/>
                <w:sz w:val="16"/>
                <w:szCs w:val="16"/>
                <w:color w:val="auto"/>
              </w:rPr>
              <w:t>Reclassification of warrant liability</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314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940" w:type="dxa"/>
            <w:vAlign w:val="bottom"/>
          </w:tcPr>
          <w:p>
            <w:pPr>
              <w:spacing w:after="0"/>
              <w:rPr>
                <w:sz w:val="20"/>
                <w:szCs w:val="20"/>
                <w:color w:val="auto"/>
              </w:rPr>
            </w:pPr>
            <w:r>
              <w:rPr>
                <w:rFonts w:ascii="Arial" w:cs="Arial" w:eastAsia="Arial" w:hAnsi="Arial"/>
                <w:sz w:val="16"/>
                <w:szCs w:val="16"/>
                <w:color w:val="auto"/>
              </w:rPr>
              <w:t>Net loss attributable to common</w:t>
            </w: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6"/>
                <w:szCs w:val="16"/>
                <w:color w:val="auto"/>
              </w:rPr>
              <w:t>shareholders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vMerge w:val="restart"/>
          </w:tcPr>
          <w:p>
            <w:pPr>
              <w:spacing w:after="0"/>
              <w:rPr>
                <w:sz w:val="20"/>
                <w:szCs w:val="20"/>
                <w:color w:val="auto"/>
              </w:rPr>
            </w:pPr>
            <w:r>
              <w:rPr>
                <w:rFonts w:ascii="Arial" w:cs="Arial" w:eastAsia="Arial" w:hAnsi="Arial"/>
                <w:sz w:val="16"/>
                <w:szCs w:val="16"/>
                <w:color w:val="auto"/>
              </w:rPr>
              <w:t>Balance, December 31, 2014</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40" w:type="dxa"/>
            <w:vAlign w:val="bottom"/>
            <w:vMerge w:val="continue"/>
          </w:tcPr>
          <w:p>
            <w:pPr>
              <w:spacing w:after="0"/>
              <w:rPr>
                <w:sz w:val="18"/>
                <w:szCs w:val="18"/>
                <w:color w:val="auto"/>
              </w:rPr>
            </w:pPr>
          </w:p>
        </w:tc>
        <w:tc>
          <w:tcPr>
            <w:tcW w:w="800" w:type="dxa"/>
            <w:vAlign w:val="bottom"/>
          </w:tcPr>
          <w:p>
            <w:pPr>
              <w:jc w:val="right"/>
              <w:ind w:right="37"/>
              <w:spacing w:after="0"/>
              <w:rPr>
                <w:sz w:val="20"/>
                <w:szCs w:val="20"/>
                <w:color w:val="auto"/>
              </w:rPr>
            </w:pPr>
            <w:r>
              <w:rPr>
                <w:rFonts w:ascii="Arial" w:cs="Arial" w:eastAsia="Arial" w:hAnsi="Arial"/>
                <w:sz w:val="16"/>
                <w:szCs w:val="16"/>
                <w:color w:val="auto"/>
              </w:rPr>
              <w:t>45,742</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780" w:type="dxa"/>
            <w:vAlign w:val="bottom"/>
          </w:tcPr>
          <w:p>
            <w:pPr>
              <w:jc w:val="right"/>
              <w:ind w:right="158"/>
              <w:spacing w:after="0"/>
              <w:rPr>
                <w:sz w:val="20"/>
                <w:szCs w:val="20"/>
                <w:color w:val="auto"/>
              </w:rPr>
            </w:pPr>
            <w:r>
              <w:rPr>
                <w:rFonts w:ascii="Arial" w:cs="Arial" w:eastAsia="Arial" w:hAnsi="Arial"/>
                <w:sz w:val="16"/>
                <w:szCs w:val="16"/>
                <w:color w:val="auto"/>
                <w:w w:val="89"/>
              </w:rPr>
              <w:t>429,813</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(238,812)</w:t>
            </w:r>
          </w:p>
        </w:tc>
        <w:tc>
          <w:tcPr>
            <w:tcW w:w="10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166,025</w:t>
            </w:r>
          </w:p>
        </w:tc>
      </w:tr>
      <w:tr>
        <w:trPr>
          <w:trHeight w:val="662"/>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1,597</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1,599</w:t>
            </w:r>
          </w:p>
        </w:tc>
      </w:tr>
      <w:tr>
        <w:trPr>
          <w:trHeight w:val="459"/>
        </w:trPr>
        <w:tc>
          <w:tcPr>
            <w:tcW w:w="780" w:type="dxa"/>
            <w:vAlign w:val="bottom"/>
          </w:tcPr>
          <w:p>
            <w:pPr>
              <w:jc w:val="right"/>
              <w:ind w:right="98"/>
              <w:spacing w:after="0"/>
              <w:rPr>
                <w:sz w:val="20"/>
                <w:szCs w:val="20"/>
                <w:color w:val="auto"/>
              </w:rPr>
            </w:pPr>
            <w:r>
              <w:rPr>
                <w:rFonts w:ascii="Arial" w:cs="Arial" w:eastAsia="Arial" w:hAnsi="Arial"/>
                <w:sz w:val="16"/>
                <w:szCs w:val="16"/>
                <w:color w:val="auto"/>
              </w:rPr>
              <w:t>(433)</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(433)</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7,500</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7,500</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(89,266)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(89,266)</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58"/>
              <w:spacing w:after="0"/>
              <w:rPr>
                <w:sz w:val="20"/>
                <w:szCs w:val="20"/>
                <w:color w:val="auto"/>
              </w:rPr>
            </w:pPr>
            <w:r>
              <w:rPr>
                <w:rFonts w:ascii="Arial" w:cs="Arial" w:eastAsia="Arial" w:hAnsi="Arial"/>
                <w:sz w:val="16"/>
                <w:szCs w:val="16"/>
                <w:color w:val="auto"/>
                <w:w w:val="89"/>
              </w:rPr>
              <w:t>438,477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(328,078)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85,447</w:t>
            </w:r>
          </w:p>
        </w:tc>
      </w:tr>
      <w:tr>
        <w:trPr>
          <w:trHeight w:val="459"/>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459"/>
        </w:trPr>
        <w:tc>
          <w:tcPr>
            <w:tcW w:w="780" w:type="dxa"/>
            <w:vAlign w:val="bottom"/>
          </w:tcPr>
          <w:p>
            <w:pPr>
              <w:jc w:val="right"/>
              <w:ind w:right="98"/>
              <w:spacing w:after="0"/>
              <w:rPr>
                <w:sz w:val="20"/>
                <w:szCs w:val="20"/>
                <w:color w:val="auto"/>
              </w:rPr>
            </w:pPr>
            <w:r>
              <w:rPr>
                <w:rFonts w:ascii="Arial" w:cs="Arial" w:eastAsia="Arial" w:hAnsi="Arial"/>
                <w:sz w:val="16"/>
                <w:szCs w:val="16"/>
                <w:color w:val="auto"/>
              </w:rPr>
              <w:t>(654)</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(654)</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3,443</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3,443</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(43,413)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(43,413)</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58"/>
              <w:spacing w:after="0"/>
              <w:rPr>
                <w:sz w:val="20"/>
                <w:szCs w:val="20"/>
                <w:color w:val="auto"/>
              </w:rPr>
            </w:pPr>
            <w:r>
              <w:rPr>
                <w:rFonts w:ascii="Arial" w:cs="Arial" w:eastAsia="Arial" w:hAnsi="Arial"/>
                <w:sz w:val="16"/>
                <w:szCs w:val="16"/>
                <w:color w:val="auto"/>
                <w:w w:val="89"/>
              </w:rPr>
              <w:t>441,368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(371,491)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8"/>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44,916</w:t>
            </w:r>
          </w:p>
        </w:tc>
      </w:tr>
      <w:tr>
        <w:trPr>
          <w:trHeight w:val="662"/>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246</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459"/>
        </w:trPr>
        <w:tc>
          <w:tcPr>
            <w:tcW w:w="780" w:type="dxa"/>
            <w:vAlign w:val="bottom"/>
          </w:tcPr>
          <w:p>
            <w:pPr>
              <w:jc w:val="right"/>
              <w:ind w:right="98"/>
              <w:spacing w:after="0"/>
              <w:rPr>
                <w:sz w:val="20"/>
                <w:szCs w:val="20"/>
                <w:color w:val="auto"/>
              </w:rPr>
            </w:pPr>
            <w:r>
              <w:rPr>
                <w:rFonts w:ascii="Arial" w:cs="Arial" w:eastAsia="Arial" w:hAnsi="Arial"/>
                <w:sz w:val="16"/>
                <w:szCs w:val="16"/>
                <w:color w:val="auto"/>
              </w:rPr>
              <w:t>(1,067)</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(1,067)</w:t>
            </w:r>
          </w:p>
        </w:tc>
      </w:tr>
      <w:tr>
        <w:trPr>
          <w:trHeight w:val="465"/>
        </w:trPr>
        <w:tc>
          <w:tcPr>
            <w:tcW w:w="780" w:type="dxa"/>
            <w:vAlign w:val="bottom"/>
          </w:tcPr>
          <w:p>
            <w:pPr>
              <w:jc w:val="right"/>
              <w:ind w:right="158"/>
              <w:spacing w:after="0"/>
              <w:rPr>
                <w:sz w:val="20"/>
                <w:szCs w:val="20"/>
                <w:color w:val="auto"/>
              </w:rPr>
            </w:pPr>
            <w:r>
              <w:rPr>
                <w:rFonts w:ascii="Arial" w:cs="Arial" w:eastAsia="Arial" w:hAnsi="Arial"/>
                <w:sz w:val="18"/>
                <w:szCs w:val="18"/>
                <w:color w:val="auto"/>
              </w:rPr>
              <w:t>4,998</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5,000</w:t>
            </w:r>
          </w:p>
        </w:tc>
      </w:tr>
      <w:tr>
        <w:trPr>
          <w:trHeight w:val="662"/>
        </w:trPr>
        <w:tc>
          <w:tcPr>
            <w:tcW w:w="780" w:type="dxa"/>
            <w:vAlign w:val="bottom"/>
          </w:tcPr>
          <w:p>
            <w:pPr>
              <w:jc w:val="right"/>
              <w:ind w:right="158"/>
              <w:spacing w:after="0"/>
              <w:rPr>
                <w:sz w:val="20"/>
                <w:szCs w:val="20"/>
                <w:color w:val="auto"/>
              </w:rPr>
            </w:pPr>
            <w:r>
              <w:rPr>
                <w:rFonts w:ascii="Arial" w:cs="Arial" w:eastAsia="Arial" w:hAnsi="Arial"/>
                <w:sz w:val="18"/>
                <w:szCs w:val="18"/>
                <w:color w:val="auto"/>
              </w:rPr>
              <w:t>7,929</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7,936</w:t>
            </w:r>
          </w:p>
        </w:tc>
      </w:tr>
      <w:tr>
        <w:trPr>
          <w:trHeight w:val="662"/>
        </w:trPr>
        <w:tc>
          <w:tcPr>
            <w:tcW w:w="780" w:type="dxa"/>
            <w:vAlign w:val="bottom"/>
          </w:tcPr>
          <w:p>
            <w:pPr>
              <w:jc w:val="right"/>
              <w:ind w:right="158"/>
              <w:spacing w:after="0"/>
              <w:rPr>
                <w:sz w:val="20"/>
                <w:szCs w:val="20"/>
                <w:color w:val="auto"/>
              </w:rPr>
            </w:pPr>
            <w:r>
              <w:rPr>
                <w:rFonts w:ascii="Arial" w:cs="Arial" w:eastAsia="Arial" w:hAnsi="Arial"/>
                <w:sz w:val="18"/>
                <w:szCs w:val="18"/>
                <w:color w:val="auto"/>
              </w:rPr>
              <w:t>939</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940</w:t>
            </w:r>
          </w:p>
        </w:tc>
      </w:tr>
      <w:tr>
        <w:trPr>
          <w:trHeight w:val="459"/>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445</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445</w:t>
            </w:r>
          </w:p>
        </w:tc>
      </w:tr>
      <w:tr>
        <w:trPr>
          <w:trHeight w:val="264"/>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8,219</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8,219</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3,588</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3,588</w:t>
            </w:r>
          </w:p>
        </w:tc>
      </w:tr>
      <w:tr>
        <w:trPr>
          <w:trHeight w:val="459"/>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(39,674)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(39,674)</w:t>
            </w:r>
          </w:p>
        </w:tc>
      </w:tr>
      <w:tr>
        <w:trPr>
          <w:trHeight w:val="270"/>
        </w:trPr>
        <w:tc>
          <w:tcPr>
            <w:tcW w:w="7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80" w:type="dxa"/>
            <w:vAlign w:val="bottom"/>
          </w:tcPr>
          <w:p>
            <w:pPr>
              <w:jc w:val="right"/>
              <w:ind w:right="158"/>
              <w:spacing w:after="0"/>
              <w:rPr>
                <w:sz w:val="20"/>
                <w:szCs w:val="20"/>
                <w:color w:val="auto"/>
              </w:rPr>
            </w:pPr>
            <w:r>
              <w:rPr>
                <w:rFonts w:ascii="Arial" w:cs="Arial" w:eastAsia="Arial" w:hAnsi="Arial"/>
                <w:sz w:val="16"/>
                <w:szCs w:val="16"/>
                <w:color w:val="auto"/>
                <w:w w:val="89"/>
              </w:rPr>
              <w:t>466,665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(411,165)</w:t>
            </w:r>
          </w:p>
        </w:tc>
        <w:tc>
          <w:tcPr>
            <w:tcW w:w="100" w:type="dxa"/>
            <w:vAlign w:val="bottom"/>
          </w:tcPr>
          <w:p>
            <w:pPr>
              <w:spacing w:after="0"/>
              <w:rPr>
                <w:sz w:val="18"/>
                <w:szCs w:val="18"/>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30,546</w:t>
            </w:r>
          </w:p>
        </w:tc>
      </w:tr>
      <w:tr>
        <w:trPr>
          <w:trHeight w:val="33"/>
        </w:trPr>
        <w:tc>
          <w:tcPr>
            <w:tcW w:w="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-5384800</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-4921885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-4116070</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-3652520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-2717800</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-2134870</wp:posOffset>
            </wp:positionV>
            <wp:extent cx="7246620"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-1294130</wp:posOffset>
            </wp:positionV>
            <wp:extent cx="724662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-831215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-368300</wp:posOffset>
            </wp:positionV>
            <wp:extent cx="7246620" cy="3689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6893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-3309620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-4578985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400"/>
            <w:col w:w="6060"/>
          </w:cols>
          <w:pgMar w:left="240" w:top="125" w:right="2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11420"/>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F- 6</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NOVATEL WIRELESS, INC.</w:t>
      </w:r>
    </w:p>
    <w:p>
      <w:pPr>
        <w:spacing w:after="0" w:line="63" w:lineRule="exact"/>
        <w:rPr>
          <w:sz w:val="20"/>
          <w:szCs w:val="20"/>
          <w:color w:val="auto"/>
        </w:rPr>
      </w:pPr>
    </w:p>
    <w:p>
      <w:pPr>
        <w:jc w:val="right"/>
        <w:ind w:righ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125" w:right="239" w:bottom="2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loss attributable to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Adjustments to reconcile net loss to net cash used in operating activities: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Loss on goodwill and purchased intangible assets impairment</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Impairment loss on equipment, leasehold improvements and software license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Provision for bad debts, net of recoveries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Net impairment loss on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Provision for excess and obsolete inventory</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89" w:lineRule="exact"/>
        <w:rPr>
          <w:sz w:val="20"/>
          <w:szCs w:val="20"/>
          <w:color w:val="auto"/>
        </w:rPr>
      </w:pPr>
    </w:p>
    <w:p>
      <w:pPr>
        <w:ind w:left="720"/>
        <w:spacing w:after="0" w:line="253" w:lineRule="auto"/>
        <w:rPr>
          <w:sz w:val="20"/>
          <w:szCs w:val="20"/>
          <w:color w:val="auto"/>
        </w:rPr>
      </w:pPr>
      <w:r>
        <w:rPr>
          <w:rFonts w:ascii="Arial" w:cs="Arial" w:eastAsia="Arial" w:hAnsi="Arial"/>
          <w:sz w:val="14"/>
          <w:szCs w:val="14"/>
          <w:color w:val="auto"/>
        </w:rPr>
        <w:t>Change in fair value of warrant liability and fair value of beneficial conversion feature on convertible Series C preferred shares</w:t>
      </w:r>
    </w:p>
    <w:p>
      <w:pPr>
        <w:spacing w:after="0" w:line="12" w:lineRule="exact"/>
        <w:rPr>
          <w:sz w:val="20"/>
          <w:szCs w:val="20"/>
          <w:color w:val="auto"/>
        </w:rPr>
      </w:pPr>
    </w:p>
    <w:p>
      <w:pPr>
        <w:ind w:left="720"/>
        <w:spacing w:after="0"/>
        <w:rPr>
          <w:sz w:val="20"/>
          <w:szCs w:val="20"/>
          <w:color w:val="auto"/>
        </w:rPr>
      </w:pPr>
      <w:r>
        <w:rPr>
          <w:rFonts w:ascii="Arial" w:cs="Arial" w:eastAsia="Arial" w:hAnsi="Arial"/>
          <w:sz w:val="14"/>
          <w:szCs w:val="14"/>
          <w:color w:val="auto"/>
        </w:rPr>
        <w:t>Shareholder litigation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Non-cash income tax expense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Changes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Prepaid expenses and other assets</w:t>
      </w:r>
    </w:p>
    <w:p>
      <w:pPr>
        <w:spacing w:after="0" w:line="10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Accrued expenses, income taxes, and other</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investing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 of intangible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Purchases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Marketable securities maturities / sales</w:t>
      </w:r>
    </w:p>
    <w:p>
      <w:pPr>
        <w:spacing w:after="0" w:line="10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flows from financing activities:</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the issuances of Series C preferred and common stock, net of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the issuance of short-term debt, net of issuance costs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Principal repayments of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Repayment of litigation settlement note payable, including interest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Borrowings on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Principal payments under capital lease obligations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paid on vested restricted stock units net of proceeds from stock option exercises and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cash provided by financing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Effect of exchange rates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Net increase (decrease)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end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paid during the year for: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Supplemental disclosures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Building rent incentives to fund leasehold improvements</w:t>
      </w:r>
    </w:p>
    <w:p>
      <w:pPr>
        <w:spacing w:after="0" w:line="177" w:lineRule="exact"/>
        <w:rPr>
          <w:sz w:val="20"/>
          <w:szCs w:val="20"/>
          <w:color w:val="auto"/>
        </w:rPr>
      </w:pPr>
    </w:p>
    <w:p>
      <w:pPr>
        <w:ind w:left="720"/>
        <w:spacing w:after="0"/>
        <w:rPr>
          <w:sz w:val="20"/>
          <w:szCs w:val="20"/>
          <w:color w:val="auto"/>
        </w:rPr>
      </w:pPr>
      <w:r>
        <w:rPr>
          <w:rFonts w:ascii="Arial" w:cs="Arial" w:eastAsia="Arial" w:hAnsi="Arial"/>
          <w:sz w:val="14"/>
          <w:szCs w:val="14"/>
          <w:color w:val="auto"/>
        </w:rPr>
        <w:t>Issuance of common stock for litigation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right="560"/>
        <w:spacing w:after="0" w:line="434" w:lineRule="auto"/>
        <w:rPr>
          <w:sz w:val="20"/>
          <w:szCs w:val="20"/>
          <w:color w:val="auto"/>
        </w:rPr>
      </w:pPr>
      <w:r>
        <w:rPr>
          <w:rFonts w:ascii="Arial" w:cs="Arial" w:eastAsia="Arial" w:hAnsi="Arial"/>
          <w:sz w:val="14"/>
          <w:szCs w:val="14"/>
          <w:color w:val="auto"/>
        </w:rPr>
        <w:t>Initial fair value of warrant liability recorded upon issuance of Series C preferred and common stock Issuance of common stock for conversion of Series C preferred shares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2012</w:t>
            </w:r>
          </w:p>
        </w:tc>
      </w:tr>
      <w:tr>
        <w:trPr>
          <w:trHeight w:val="528"/>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(39,674)</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(43,413)</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(89,266)</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7,408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8,949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12,337</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49,521</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439</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3,382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4,344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2,843</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3,588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3,443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7,500</w:t>
            </w:r>
          </w:p>
        </w:tc>
      </w:tr>
      <w:tr>
        <w:trPr>
          <w:trHeight w:val="351"/>
        </w:trPr>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3,725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14,326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462</w:t>
            </w:r>
          </w:p>
        </w:tc>
      </w:tr>
      <w:tr>
        <w:trPr>
          <w:trHeight w:val="540"/>
        </w:trPr>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15,688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730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(6,242)</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(13,392)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6,879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(2,403)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(1,237)</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10,036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(19,237)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(10,433)</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(4,798)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3,638</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(16,267)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(26,627)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(29,879)</w:t>
            </w:r>
          </w:p>
        </w:tc>
      </w:tr>
      <w:tr>
        <w:trPr>
          <w:trHeight w:val="528"/>
        </w:trPr>
        <w:tc>
          <w:tcPr>
            <w:tcW w:w="3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(1,753)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(5,011)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(4,579)</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(24,262)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(44,216)</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23,975</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40,897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46,696</w:t>
            </w:r>
          </w:p>
        </w:tc>
      </w:tr>
      <w:tr>
        <w:trPr>
          <w:trHeight w:val="250"/>
        </w:trPr>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20,432</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11,624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r>
      <w:tr>
        <w:trPr>
          <w:trHeight w:val="528"/>
        </w:trPr>
        <w:tc>
          <w:tcPr>
            <w:tcW w:w="30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14,163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20,300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14,000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(2,566)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(14,000)</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5,158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10,908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1,120</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r>
      <w:tr>
        <w:trPr>
          <w:trHeight w:val="244"/>
        </w:trPr>
        <w:tc>
          <w:tcPr>
            <w:tcW w:w="30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14,942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(31,025)</w:t>
            </w:r>
          </w:p>
        </w:tc>
      </w:tr>
      <w:tr>
        <w:trPr>
          <w:trHeight w:val="276"/>
        </w:trPr>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2,911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16,044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47,069</w:t>
            </w:r>
          </w:p>
        </w:tc>
      </w:tr>
      <w:tr>
        <w:trPr>
          <w:trHeight w:val="237"/>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17,853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2,911</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16,044</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85"/>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4"/>
                <w:szCs w:val="2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104</w:t>
            </w:r>
          </w:p>
        </w:tc>
      </w:tr>
      <w:tr>
        <w:trPr>
          <w:trHeight w:val="54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4,939</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267" w:lineRule="exact"/>
        <w:rPr>
          <w:sz w:val="20"/>
          <w:szCs w:val="20"/>
          <w:color w:val="auto"/>
        </w:rPr>
      </w:pPr>
    </w:p>
    <w:p>
      <w:pPr>
        <w:sectPr>
          <w:pgSz w:w="11900" w:h="16838" w:orient="portrait"/>
          <w:cols w:equalWidth="0" w:num="2">
            <w:col w:w="7060" w:space="380"/>
            <w:col w:w="3980"/>
          </w:cols>
          <w:pgMar w:left="240" w:top="125" w:right="239" w:bottom="262"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F- 7</w:t>
      </w:r>
    </w:p>
    <w:p>
      <w:pPr>
        <w:sectPr>
          <w:pgSz w:w="11900" w:h="16838" w:orient="portrait"/>
          <w:cols w:equalWidth="0" w:num="1">
            <w:col w:w="11420"/>
          </w:cols>
          <w:pgMar w:left="240" w:top="125" w:right="239" w:bottom="262"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NOVATEL WIRELESS,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Significant Accounting Policies</w:t>
      </w:r>
    </w:p>
    <w:p>
      <w:pPr>
        <w:spacing w:after="0" w:line="94" w:lineRule="exact"/>
        <w:rPr>
          <w:sz w:val="20"/>
          <w:szCs w:val="20"/>
          <w:color w:val="auto"/>
        </w:rPr>
      </w:pPr>
    </w:p>
    <w:p>
      <w:pPr>
        <w:ind w:right="80" w:firstLine="432"/>
        <w:spacing w:after="0" w:line="286" w:lineRule="auto"/>
        <w:rPr>
          <w:sz w:val="20"/>
          <w:szCs w:val="20"/>
          <w:color w:val="auto"/>
        </w:rPr>
      </w:pPr>
      <w:r>
        <w:rPr>
          <w:rFonts w:ascii="Arial" w:cs="Arial" w:eastAsia="Arial" w:hAnsi="Arial"/>
          <w:sz w:val="17"/>
          <w:szCs w:val="17"/>
          <w:color w:val="auto"/>
        </w:rPr>
        <w:t>Novatel Wireless, Inc. (the “Company,” “our” or “we”) is a provider of wireless broadband access solutions for the worldwide mobile communications market. Our broad range of products principally includes intelligent mobile hotspots, USB modems, embedded modules, integrated asset-management and mobile tracking machine-to-machine (“M2M”) devices, communications and applications software and cloud services.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have recently incurred operating losses and had a net loss attributable to common shareholders of $39.7 million during the year ended December 31, 2014. As of December 31, 2014, we had available cash and cash equivalents totaling $17.9 million, and working capital of $29.4 million. Our ability to transition to attaining profitable operations is dependent upon achieving a level of revenues adequate to support our cost structure. If events or circumstances occur such that we do not meet our operating plan as expected, we may be required to reduce planned research and development activities, incur additional restructuring charges or reduce other operating expenses which could have an adverse impact on our ability to achieve our intended business objectives. These additional reductions in expenditures , if required, could have an adverse impact on our ability to achieve certain of our business objectives during 2015. We believe our working capital resources are sufficient to fund our operations through at least December 31, 2015.</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U.S. requires management to make estimates and assumptions. These estimates and assumptions affect the reported amounts of assets, liabilities, revenues and expenses, and disclosure of contingent liabilities. Actual results could differ materially from these estimates. Significant estimates include allowance for doubtful accounts receivable, provision for excess and obsolete inventory, valuation of intangible and long-lived assets, fair value of warrant liability, accruals relating to litigation, restructuring, and retention bonus, provision for warranty costs, income taxes and share-based compensation expense.</w:t>
      </w:r>
    </w:p>
    <w:p>
      <w:pPr>
        <w:spacing w:after="0" w:line="11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Cash and cash equivalents include highly liquid investments with original maturities of three months or less. Cash and cash equivalents consist of demand deposits, US Treasury securities, and money market funds. Cash and cash equivalents are recorded at market value, which approximates cost. Gains and losses associated with the Company’s foreign currency denominated demand deposits are recorded as a component of other income (expense).</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Allowance for Doubtful Accounts Receivable</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provides an allowance for its accounts receivable for estimated losses that may result from its customers’ inability to pay. The Company determines the amount of the allowance by analyzing known uncollectible accounts, aged receivables, economic conditions, historical losses, and changes in customer payment cycles and our customers’ credit-worthiness. Amounts later determined and specifically identified to be uncollectible are charged or written off against this allowance. To minimize the likelihood of uncollectibility, the Company reviews its customers’ credit-worthiness periodically based on credit scores generated by independent credit reporting services, its experience with its customers and the economic condition of its customers’ industries. Material differences may result in the amount and timing of expense for any period if the Company were to make different judgments or utilize different estimates.</w:t>
      </w:r>
    </w:p>
    <w:p>
      <w:pPr>
        <w:spacing w:after="0" w:line="1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Marketable securities predominantly consist of highly liquid debt investments with a maturity of greater than three months when purchased. The Company did not have any short or long-term marketable securities at December 31, 2014. All of the Company’s marketable debt securities are treated as “available-for-sale.” While it is the Company’s intent to hold its debt securities until maturity, the Company may sell certain securities for cash flow purposes. Thus, the Company’s marketable debt securities are classified as available-for-sale and are carried on the balance sheet at fair value with the related unrealized gains and losses included in accumulated other comprehensive loss, a component of stockholders’ equity. Realized gains and losses on the sale of marketable securities are determined using the specific-identification method. The Company determines the fair value of its financial assets and liabilities by reference to the hierarchy of inputs which consists of three levels: Level 1 fair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F- 8</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values are valuations based on quoted market prices in active markets for identical assets or liabilities that the entity has the ability to access; Level 2 fair values are those valuations based on quoted prices for similar assets or liabilities, quoted prices in markets that are not active, or other inputs that are observable or can be corroborated by observable data for substantially the full term of the assets or liabilities; and Level 3 fair values are valuations based on inputs that are supported by little or no market activity and that are significant to the fair value of the assets or liabilities.</w:t>
      </w:r>
    </w:p>
    <w:p>
      <w:pPr>
        <w:spacing w:after="0" w:line="36"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All securities whose maturity or sale is expected within one year are classified as “current” on the consolidated balance sheet. All other securities are classified as “long-term” on the consolidated balance sheet.</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 and Provision for Excess and Obsolete Inventory</w:t>
      </w:r>
    </w:p>
    <w:p>
      <w:pPr>
        <w:spacing w:after="0" w:line="90"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Inventories are stated at the lower of cost (first-in, first-out method) or market. Shipping and handling costs are classified as a component of cost of net revenues in the consolidated statements of operations. The Company reviews the components of its inventory and its inventory purchase commitments on a regular basis for excess and obsolete inventory based on estimated future usage and sales. Write-downs in inventory value or losses on inventory purchase commitments depend on various items, including factors related to customer demand, economic and competitive conditions, technological advances or new product introductions by the Company or its customers that vary from its current expectations. Whenever inventory is written down, a new cost basis is established and the inventory is not subsequently written up if market conditions improve.</w:t>
      </w:r>
    </w:p>
    <w:p>
      <w:pPr>
        <w:spacing w:after="0" w:line="4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The Company believes that, when made, the estimates used in calculating the inventory provision are reasonable and properly reflect the risk of excess and obsolete inventory. If customer demand for the Company’s inventory is substantially less than its estimates, inventory write-downs may be required, which could have a material adverse effect on its consolidated financial statements.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240" w:firstLine="432"/>
        <w:spacing w:after="0" w:line="259" w:lineRule="auto"/>
        <w:rPr>
          <w:sz w:val="20"/>
          <w:szCs w:val="20"/>
          <w:color w:val="auto"/>
        </w:rPr>
      </w:pPr>
      <w:r>
        <w:rPr>
          <w:rFonts w:ascii="Arial" w:cs="Arial" w:eastAsia="Arial" w:hAnsi="Arial"/>
          <w:sz w:val="18"/>
          <w:szCs w:val="18"/>
          <w:color w:val="auto"/>
        </w:rPr>
        <w:t>Property and equipment are initially stated at cost and depreciated using the straight-line method. Test equipment, computer equipment, purchased software, furniture, and fixtures and product tooling are depreciated over lives ranging from eighteen months to five years and leasehold improvements are depreciated over the shorter of the related remaining lease period or useful life. Amortization of assets held under capital leases is included in depreciation expense.</w:t>
      </w:r>
    </w:p>
    <w:p>
      <w:pPr>
        <w:spacing w:after="0" w:line="52"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Expenditures for repairs and maintenance are expensed as incurred. Expenditures for major renewals and betterments that extend the useful lives of existing property and equipment are capitalized and depreciated. Upon retirement or disposition of property and equipment, any resulting gain or loss is recognized in the consolidated statements of operations.</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Intangible assets include purchased intangible assets acquired from Enfora, Inc. (“Enfora”) on November 30, 2010 and the costs of non-exclusive and perpetual worldwide software technology licenses. These costs are amortized on an accelerated basis or on a straight-line basis over the estimated useful lives of the assets, depending on the anticipated utilization of the asset. The majority of intangible assets relate to the developed technologies and trade name resulting from the acquisition of Enfora. Developed technologies are amortized on a straight-line basis over the remaining one year useful life. Trade name is amortized on a straight-line basis over the remaining useful life of three years.</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Company periodically evaluates the carrying value of the unamortized balances of its long-lived assets, including property and equipment and intangible assets, to determine whether impairment of these assets has occurred or whether a revision to the related amortization periods should be made. When the carrying value of an asset exceeds the associated undiscounted expected future cash flows, it is considered to be impaired and is written down to fair value. Fair value is determined based on an evaluation of the assets associated undiscounted future cash flows or appraised value</w:t>
      </w:r>
      <w:r>
        <w:rPr>
          <w:rFonts w:ascii="Arial" w:cs="Arial" w:eastAsia="Arial" w:hAnsi="Arial"/>
          <w:sz w:val="17"/>
          <w:szCs w:val="17"/>
          <w:i w:val="1"/>
          <w:iCs w:val="1"/>
          <w:color w:val="auto"/>
        </w:rPr>
        <w:t>.</w:t>
      </w:r>
      <w:r>
        <w:rPr>
          <w:rFonts w:ascii="Arial" w:cs="Arial" w:eastAsia="Arial" w:hAnsi="Arial"/>
          <w:sz w:val="17"/>
          <w:szCs w:val="17"/>
          <w:color w:val="auto"/>
        </w:rPr>
        <w:t xml:space="preserve"> This evaluation is based on management’s projections of the undiscounted future cash flows associated with each class of asset. If management’s evaluation indicates that the carrying values of these assets are impaired, such impairment is recognized by a reduction of the applicable asset carrying value to its estimated fair value and the impairment is expensed as a part of continuing operations.</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Goodwill represents the excess of the purchase price of an acquired enterprise over the fair value assigned to assets acquired and liabilities assumed in a business combination. Goodwill is allocated as of the date of the business combination to the reporting units that are expected to benefit from the synergies of the business combination. Goodwill is considered to be impaired if the Company determines that the carrying value of the reporting unit to which the goodwill has been assigned exceeds its estimated fair value. As of December 31, 2014, all historical goodwill had been fully impaired.</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F- 9</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The Company’s revenue is principally generated from the sale of wireless modems to wireless operators, OEM customers and value added resellers and distributors. In addition, the Company generates revenue from the sale of asset-management solutions utilizing wireless technology and M2M communication devices predominantly to transportation and industrial companies, medical device manufacturers and security system providers. Revenue from product sales is generally recognized upon the later of transfer of title or delivery of the product to the customer. Where the transfer of title or risk of loss is contingent on the customer’s acceptance of the product, we will not recognize revenue until both title and risk of loss have transferred to the customer. We record deferred revenue for cash payments received from customers in advance of when revenue recognition criteria are met. We have granted price protection to certain customers in accordance with the provisions of the respective contracts and track pricing and other terms offered to customers buying similar products to assess compliance with these provisions. We estimate the amount of price protection for current period product sales utilizing historical experience and information regarding customer inventory levels. To date, we have not incurred material price protection obligations. Revenues from sales to certain customers are subject to cooperative advertising allowances. Cooperative advertising allowances are recorded as an operating expense to the extent that the advertising benefit is separable from the revenue transaction and the fair value of that advertising benefit is determinable. To the extent that such allowances either do not provide a separable benefit to us, or the fair value of the advertising benefit cannot be reliably estimated, such amounts are recorded as a reduction of revenue. We establish reserves for estimated product returns allowances in the period in which revenue is recognized. In estimating future product returns, we consider various factors, including our stated return policies and practices and historical trends.</w:t>
      </w:r>
    </w:p>
    <w:p>
      <w:pPr>
        <w:spacing w:after="0" w:line="37"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Predominantly all of our revenues represent the sale of hardware with accompanied software that is essential to the functionality of the hardware. The Company records revenue associated with the agreed upon price on hardware sales, and accrues any estimated costs of post-delivery performance obligations such as warranty obligations. The Company considers the four basic revenue recognition criteria discussed under Staff Accounting Bulletin No. 104 when assessing appropriate revenue recognition as follows:</w:t>
      </w:r>
    </w:p>
    <w:p>
      <w:pPr>
        <w:spacing w:after="0" w:line="5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#1—Persuasive evidence of an arrangement must exist;</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Criterion #2—Delivery has occurred;</w:t>
      </w:r>
    </w:p>
    <w:p>
      <w:pPr>
        <w:spacing w:after="0" w:line="90" w:lineRule="exact"/>
        <w:rPr>
          <w:sz w:val="20"/>
          <w:szCs w:val="20"/>
          <w:color w:val="auto"/>
        </w:rPr>
      </w:pPr>
    </w:p>
    <w:p>
      <w:pPr>
        <w:ind w:left="1320" w:right="3980"/>
        <w:spacing w:after="0" w:line="344" w:lineRule="auto"/>
        <w:rPr>
          <w:sz w:val="20"/>
          <w:szCs w:val="20"/>
          <w:color w:val="auto"/>
        </w:rPr>
      </w:pPr>
      <w:r>
        <w:rPr>
          <w:rFonts w:ascii="Arial" w:cs="Arial" w:eastAsia="Arial" w:hAnsi="Arial"/>
          <w:sz w:val="18"/>
          <w:szCs w:val="18"/>
          <w:color w:val="auto"/>
        </w:rPr>
        <w:t>Criterion #3—The Company’s price to the buyer must be fixed or determinable; and, Criterion #4—Collectability is reasonably assured.</w:t>
      </w:r>
    </w:p>
    <w:p>
      <w:pPr>
        <w:spacing w:after="0" w:line="1"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For multiple element arrangements, total consideration received from customers is allocated to the elements. This may include hardware, non-essential software elements and/or essential software, based on a relative selling price. The accounting guidance establishes a hierarchy to determine the selling price to be used for allocating revenue to deliverables as follows: (i) vendors specific objective evidence (VSOE), (ii) third party evidence (TPE), and (iii) best estimate of selling price (BESP). Because the Company has neither VSOE nor TPE, revenue has been based on the Company’s BESP. Amounts allocated to the delivered hardware and the related essential software are recognized at the time of the sale provided all other revenue recognition criteria have been met. Amounts allocated to other deliverables based upon BESP are recognized in the period the revenue recognition criteria have been met.</w:t>
      </w:r>
    </w:p>
    <w:p>
      <w:pPr>
        <w:spacing w:after="0" w:line="3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process for determining its BESP for deliverables without VSOE or TPE considers multiple factors that may vary depending upon the unique facts and circumstances related to each deliverable. Our prices are determined based upon cost to produce our products, expected order quantities, acceptance in the marketplace and internal pricing parameters. In addition, when developing BESPs for products we may consider other factors as appropriate including the pricing of competitive alternatives if they exist, and product-specific business objectives.</w:t>
      </w:r>
    </w:p>
    <w:p>
      <w:pPr>
        <w:spacing w:after="0" w:line="5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We account for nonessential software licenses and related post contract support (PCS) under multiple element arrangements by recognizing revenue for such arrangements ratably over the term of the PCS as we have not established VSOE for the PCS element.</w:t>
      </w:r>
    </w:p>
    <w:p>
      <w:pPr>
        <w:spacing w:after="0" w:line="35" w:lineRule="exact"/>
        <w:rPr>
          <w:sz w:val="20"/>
          <w:szCs w:val="20"/>
          <w:color w:val="auto"/>
        </w:rPr>
      </w:pPr>
    </w:p>
    <w:p>
      <w:pPr>
        <w:ind w:right="1000" w:firstLine="432"/>
        <w:spacing w:after="0" w:line="277" w:lineRule="auto"/>
        <w:rPr>
          <w:sz w:val="20"/>
          <w:szCs w:val="20"/>
          <w:color w:val="auto"/>
        </w:rPr>
      </w:pPr>
      <w:r>
        <w:rPr>
          <w:rFonts w:ascii="Arial" w:cs="Arial" w:eastAsia="Arial" w:hAnsi="Arial"/>
          <w:sz w:val="18"/>
          <w:szCs w:val="18"/>
          <w:color w:val="auto"/>
        </w:rPr>
        <w:t>For the years ended December 31, 2014, 2013 and 2012, we have not recorded any significant revenues from multiple element or software arrangements.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Costs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costs are expensed as incurred.</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 Costs</w:t>
      </w:r>
    </w:p>
    <w:p>
      <w:pPr>
        <w:spacing w:after="0" w:line="90"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Company accrues warranty costs based on estimates of future warranty related replacement, repairs or rework of products. Our warranty policy generally provides one to three years of coverage for products following the date of purchase. The Company’s policy is to accrue the estimated cost of warranty coverage as a component of cost of revenue in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F- 10</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accompanying consolidated statements of operations at the time revenue is recognized. In estimating our future warranty obligations the Company considers various factors, including the historical frequency and volume of claims and the cost to replace or repair products under warranty. The warranty provision for our products is determined by using a financial model to estimate future warranty costs. The Company’s financial model takes into consideration actual product failure rates; estimated replacement, repair or rework expenses; and potential risks associated with our different products. The risk levels, warranty cost information and failure rates used within this model are reviewed throughout the year and updated, if and when, these inputs change.</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our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Deferred tax assets and liabilities are measured using enacted tax rates expected to apply to taxable income in the years in which those temporary differences are expected to be recovered or settled.</w:t>
      </w:r>
    </w:p>
    <w:p>
      <w:pPr>
        <w:spacing w:after="0" w:line="36"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Deferred tax assets are reduced by valuation allowances if, based on the consideration of all available evidence, it is more likely than not that some portion of the deferred tax asset will not be realized. The Company evaluates deferred income taxes on a quarterly basis to determine if valuation allowances are required by considering available evidence. If the Company is unable to generate sufficient future taxable income in certain tax jurisdictions, or if there is a material change in the actual effective tax rates or time period within which the underlying temporary differences become taxable or deductible, the Company could be required to increase its valuation allowance against its deferred tax assets which could result in an increase in the Company’s effective tax rate and an adverse impact on operating results. The Company will continue to evaluate the necessity of the valuation allowance based on the remaining deferred tax assets.</w:t>
      </w:r>
    </w:p>
    <w:p>
      <w:pPr>
        <w:spacing w:after="0" w:line="54" w:lineRule="exact"/>
        <w:rPr>
          <w:sz w:val="20"/>
          <w:szCs w:val="20"/>
          <w:color w:val="auto"/>
        </w:rPr>
      </w:pPr>
    </w:p>
    <w:p>
      <w:pPr>
        <w:jc w:val="both"/>
        <w:ind w:right="20" w:firstLine="486"/>
        <w:spacing w:after="0" w:line="288"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w:t>
      </w:r>
    </w:p>
    <w:p>
      <w:pPr>
        <w:ind w:right="80"/>
        <w:spacing w:after="0" w:line="261" w:lineRule="auto"/>
        <w:rPr>
          <w:sz w:val="20"/>
          <w:szCs w:val="20"/>
          <w:color w:val="auto"/>
        </w:rPr>
      </w:pPr>
      <w:r>
        <w:rPr>
          <w:rFonts w:ascii="Arial" w:cs="Arial" w:eastAsia="Arial" w:hAnsi="Arial"/>
          <w:sz w:val="18"/>
          <w:szCs w:val="18"/>
          <w:color w:val="auto"/>
        </w:rPr>
        <w:t>Uncertain tax positions are recognized in the first subsequent financial reporting period in which that threshold is met or from changes in circumstances such as the expiration of applicable statutes of limitations.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Company is currently involved in certain legal proceedings. The Company will record a loss when the Company determines information available prior to the issuance of the financial statements indicates the loss is both probable and estimable. Where a liability is probable and there is a range of estimated loss with no best estimate in the range, the Company records the minimum estimated liability related to the claim. As additional information becomes available, the Company assesses the potential liability related to the Company’s pending litigation and revises its estimates, if necessary. The Company’s policy is to expense litigation costs as incurred.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Company has granted stock options to employees and restricted stock units. The Company also has an employee stock purchase plan (“ESPP”) for eligible employees. The Company measures the compensation cost associated with all share-based payments based on grant date fair values. The fair value of each employee stock option and employee stock purchase right is estimated on the date of grant using an option pricing model that meets certain requirements. The Company currently uses the Black-Scholes option pricing model to estimate the fair value of its stock options and stock purchase rights. The Black-Scholes model is considered an acceptable model but the fair values generated by it may not be indicative of the actual fair values of our equity awards as it does not consider certain factors important to those awards to employees, such as continued employment and periodic vesting requirements as well as limited transferability. The determination of the fair value of share-based payment awards utilizing the Black-Scholes model is affected by our stock price and a number of assumptions, including expected volatility, expected term, risk-free interest rate and expected dividends.</w:t>
      </w:r>
    </w:p>
    <w:p>
      <w:pPr>
        <w:spacing w:after="0" w:line="31"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For grants of stock options, the Company uses a blend of historical and implied volatility for traded options on its stock in order to estimate the expected volatility assumption required in the Black-Scholes model. The Company’s use of a blended volatility estimate in computing the expected volatility assumption for stock options is based on its belief that while that implied volatility is representative of expected future volatility, the historical volatility over the expected term of the award is also an indicator of expected future volatility. Due to the short duration of employee stock purchase rights under our ESPP, the Company utilizes historical volatility in order to estimate the expected volatility assumption of the Black-Scholes model.</w:t>
      </w:r>
    </w:p>
    <w:p>
      <w:pPr>
        <w:spacing w:after="0" w:line="37"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expected term of stock options granted is estimated using historical experience. The risk-free interest rate assumption is based on observed interest rates appropriate for the expected terms of our stock options and employee stock purchase rights.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F- 11</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dividend yield assumption is based on the Company’s history and expectation of no dividend payouts. The Company estimates forfeitures at the time of grant and revises these estimates, if necessary, in subsequent periods if actual forfeitures differ from those estimates. The Company estimates its forfeiture rate assumption for all types of share based compensation awards based historical forfeiture rates related to each category of award.</w:t>
      </w:r>
    </w:p>
    <w:p>
      <w:pPr>
        <w:spacing w:after="0" w:line="1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Compensation cost associated with grants of restricted stock units are measured at fair value, which has historically been the closing price of the Company’s stock on the date of grant.</w:t>
      </w:r>
    </w:p>
    <w:p>
      <w:pPr>
        <w:spacing w:after="0" w:line="35" w:lineRule="exact"/>
        <w:rPr>
          <w:sz w:val="20"/>
          <w:szCs w:val="20"/>
          <w:color w:val="auto"/>
        </w:rPr>
      </w:pPr>
    </w:p>
    <w:p>
      <w:pPr>
        <w:ind w:right="20" w:firstLine="432"/>
        <w:spacing w:after="0" w:line="334" w:lineRule="auto"/>
        <w:rPr>
          <w:sz w:val="20"/>
          <w:szCs w:val="20"/>
          <w:color w:val="auto"/>
        </w:rPr>
      </w:pPr>
      <w:r>
        <w:rPr>
          <w:rFonts w:ascii="Arial" w:cs="Arial" w:eastAsia="Arial" w:hAnsi="Arial"/>
          <w:sz w:val="16"/>
          <w:szCs w:val="16"/>
          <w:color w:val="auto"/>
        </w:rPr>
        <w:t>The Company recognizes share-based compensation expense using the straight-line method for awards that contain only service conditions. For awards that contain performance conditions, the Company recognizes the share-based compensation expense on a straight-line basis for each vesting tranche.</w:t>
      </w:r>
    </w:p>
    <w:p>
      <w:pPr>
        <w:spacing w:after="0" w:line="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 evaluates the assumptions used to value stock awards on a quarterly basis. If factors change and the Company employs different assumptions, share-based compensation expense may differ significantly from what it has recorded in the past. If there are any modifications or cancellations of the underlying unvested securities, the Company may be required to accelerate, increase or cancel any remaining unearned share-based compensation expense.</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Computation of Net Loss Per Share Attributable to Common Shareholders</w:t>
      </w:r>
    </w:p>
    <w:p>
      <w:pPr>
        <w:spacing w:after="0" w:line="90" w:lineRule="exact"/>
        <w:rPr>
          <w:sz w:val="20"/>
          <w:szCs w:val="20"/>
          <w:color w:val="auto"/>
        </w:rPr>
      </w:pPr>
    </w:p>
    <w:p>
      <w:pPr>
        <w:ind w:right="220" w:firstLine="432"/>
        <w:spacing w:after="0" w:line="297" w:lineRule="auto"/>
        <w:rPr>
          <w:sz w:val="20"/>
          <w:szCs w:val="20"/>
          <w:color w:val="auto"/>
        </w:rPr>
      </w:pPr>
      <w:r>
        <w:rPr>
          <w:rFonts w:ascii="Arial" w:cs="Arial" w:eastAsia="Arial" w:hAnsi="Arial"/>
          <w:sz w:val="16"/>
          <w:szCs w:val="16"/>
          <w:color w:val="auto"/>
        </w:rPr>
        <w:t>The Company computes basic and diluted per share data for all periods for which a statement of operations is presented. Basic net loss per share excludes dilution and is computed by dividing the net loss by the weighted-average number of shares that were outstanding during the period. Diluted EPS reflects the potential dilution that could occur if securities or other contracts to acquire common stock were exercised or converted into common stock. Potential dilutive securities are excluded from the diluted EPS computation in loss periods as their effect would be anti-dilutive. For all periods presented, there is no difference in the number of shares used to calculate basic and diluted shares outstanding due to the Company’s net loss position.</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Company’s fair value measurements relate to its cash equivalents, marketable debt securities, and marketable equity securities, which are classified pursuant to authoritative guidance for fair value measurements. The Company places its cash equivalents and marketable debt securities in instruments that meet credit quality standards, as specified in its investment policy guidelines. These guidelines also limit the amount of credit exposure to any one issue, issuer or type of instrument.</w:t>
      </w:r>
    </w:p>
    <w:p>
      <w:pPr>
        <w:spacing w:after="0" w:line="52"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Our financial instruments consist principally of cash and cash equivalents, short-term and long-term marketable securities, warrants and short-term and long-term debt. The Company’s cash and cash equivalents consist of our investments in money market securities, time deposits with maturities of less than three months and treasury bills. The Company’s marketable securities consist primarily of government agency securities, municipal bonds, time deposits and investment-grade corporate bonds. From time to time, the Company may utilize foreign exchange forward contracts. These contracts are valued using pricing models that take into account the currency rates as of the balance sheet date.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Comprehensive Loss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Comprehensive loss consists of net earnings and unrealized gains and losses on available-for-sale securities.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(the “FASB”), which are adopted by the Company as of the specified date. Unless otherwise discussed, management believes the impact of recently issued standards, which are not yet effective, will not have a material impact on its consolidated financial statements upon adoption.</w:t>
      </w:r>
    </w:p>
    <w:p>
      <w:pPr>
        <w:spacing w:after="0" w:line="4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 xml:space="preserve">In August 2014, the FASB issued Accounting Standards Update ("ASU") No. 2014-15, </w:t>
      </w:r>
      <w:r>
        <w:rPr>
          <w:rFonts w:ascii="Arial" w:cs="Arial" w:eastAsia="Arial" w:hAnsi="Arial"/>
          <w:sz w:val="18"/>
          <w:szCs w:val="18"/>
          <w:i w:val="1"/>
          <w:iCs w:val="1"/>
          <w:color w:val="auto"/>
        </w:rPr>
        <w:t>Presentation of Financial Statements-Going Concern (Subtopic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205-40): Disclosure of Uncertainties about an Entity’s Ability to Continue as a Going Concern. </w:t>
      </w:r>
      <w:r>
        <w:rPr>
          <w:rFonts w:ascii="Arial" w:cs="Arial" w:eastAsia="Arial" w:hAnsi="Arial"/>
          <w:sz w:val="18"/>
          <w:szCs w:val="18"/>
          <w:color w:val="auto"/>
        </w:rPr>
        <w:t>Under the new guidance, management will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assess an entity’s ability to continue as a going concern, and to provide related footnote disclosures in certain circumstances. The provisions of this ASU are effective for annual periods beginning after December 15, 2016, and for annual and interim periods thereafter. The Company is currently evaluating the potential changes from this ASU to its future financial reporting and disclosures.</w:t>
      </w:r>
    </w:p>
    <w:p>
      <w:pPr>
        <w:spacing w:after="0" w:line="5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In June 2014, the FASB issued ASU No. 2014-12, </w:t>
      </w:r>
      <w:r>
        <w:rPr>
          <w:rFonts w:ascii="Arial" w:cs="Arial" w:eastAsia="Arial" w:hAnsi="Arial"/>
          <w:sz w:val="18"/>
          <w:szCs w:val="18"/>
          <w:i w:val="1"/>
          <w:iCs w:val="1"/>
          <w:color w:val="auto"/>
        </w:rPr>
        <w:t>Compensation—Stock Compensation: Accounting for Share-Based Payments When the Terms of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Award Provide That a Performance Target Could Be Achieved after the Requisite Service Period. </w:t>
      </w:r>
      <w:r>
        <w:rPr>
          <w:rFonts w:ascii="Arial" w:cs="Arial" w:eastAsia="Arial" w:hAnsi="Arial"/>
          <w:sz w:val="18"/>
          <w:szCs w:val="18"/>
          <w:color w:val="auto"/>
        </w:rPr>
        <w:t>The standard requires that a performance target that affects</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and that could be achieved after the requisite service period be treated as a performance condition. Entities are required to apply the standard for annual periods and interim periods within those annual periods, beginning after December 15, 2015. Early application is permitted. The Company is currently assessing the impact of this new guidance.</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F- 12</w:t>
      </w:r>
    </w:p>
    <w:p>
      <w:pPr>
        <w:sectPr>
          <w:pgSz w:w="11900" w:h="16838" w:orient="portrait"/>
          <w:cols w:equalWidth="0" w:num="1">
            <w:col w:w="11380"/>
          </w:cols>
          <w:pgMar w:left="240" w:top="125"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requires a reporting entity to recognize revenue to depict the transfer of promised goods or services to customers in an amount that reflects the consideration to which the entity expects to be entitled in exchange for those goods or services. The guidance in this ASU affects any entity that either enters into contracts with customers to transfer goods or services or enters into contracts for the transfer of nonfinancial assets unless those contracts are within the scope of other standards. This standard will be effective for annual reporting periods beginning after December 15, 2016. The Company is currently assessing the impact of this new guidance.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 of Assets and Liabilities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(exit price). A fair value measurement reflects the assumptions market participants would use in pricing an asset or liability based on the best available information. These assumptions include the risk inherent in a particular valuation technique (such as a pricing model) and the risks inherent in the inputs to the model.</w:t>
      </w:r>
    </w:p>
    <w:p>
      <w:pPr>
        <w:spacing w:after="0" w:line="52"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We classify our inputs to measure fair value using a three-level hierarchy that maximizes the use of observable inputs and minimizes the use of unobservable inputs by requiring that the most observable inputs be used when available. The categorization of financial instruments within the valuation hierarchy is based upon the lowest level of input that is significant to the fair value measurement. The hierarchy is prioritized into three levels (with Level 3 being the lowest) defined as follows:</w:t>
      </w:r>
    </w:p>
    <w:p>
      <w:pPr>
        <w:spacing w:after="0" w:line="52" w:lineRule="exact"/>
        <w:rPr>
          <w:sz w:val="20"/>
          <w:szCs w:val="20"/>
          <w:color w:val="auto"/>
        </w:rPr>
      </w:pPr>
    </w:p>
    <w:p>
      <w:pPr>
        <w:ind w:right="200" w:firstLine="432"/>
        <w:spacing w:after="0" w:line="308" w:lineRule="auto"/>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Pricing inputs are based on quoted market prices for identical assets or liabilities in active markets (e.g., NYSE). Active markets are those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transactions for the asset or liability occur in sufficient frequency and volume to provide pricing information on an ongoing basis.</w:t>
      </w:r>
    </w:p>
    <w:p>
      <w:pPr>
        <w:spacing w:after="0" w:line="11" w:lineRule="exact"/>
        <w:rPr>
          <w:sz w:val="20"/>
          <w:szCs w:val="20"/>
          <w:color w:val="auto"/>
        </w:rPr>
      </w:pPr>
    </w:p>
    <w:p>
      <w:pPr>
        <w:ind w:right="220" w:firstLine="432"/>
        <w:spacing w:after="0" w:line="31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Pricing inputs include benchmark yields, trade data, reported trades and broker dealer quotes, two-sided markets and industry and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events, yield to maturity, Municipal Securities Rule Making Board reported trades and vendor trading platform data. Level 2 includes those financial instruments that are valued using various pricing services and broker pricing information including Electronic Communication Networks and broker feeds.</w:t>
      </w:r>
    </w:p>
    <w:p>
      <w:pPr>
        <w:spacing w:after="0" w:line="12"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Pricing inputs include significant inputs that are generally less observable from objective sources, including the Company’s own assumptions.</w:t>
      </w:r>
    </w:p>
    <w:p>
      <w:pPr>
        <w:spacing w:after="0" w:line="113"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At December 31, 2014, the Company did not have any securities in the Level 3 category. The Company reviews the fair value hierarchy classification on a quarterly basis. We validate the quoted market prices provided by our primary pricing service by comparing their assessment of the fair values of our investments by using a third party investment manager. The third party investment manager uses similar techniques to our primary pricing service to derive the pricing describe above. Changes in the observability of valuation inputs may result in a reclassification of levels for certain securities within the fair value hierarchy.</w:t>
      </w:r>
    </w:p>
    <w:p>
      <w:pPr>
        <w:spacing w:after="0" w:line="53"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2014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320" w:type="dxa"/>
            <w:vAlign w:val="bottom"/>
          </w:tcPr>
          <w:p>
            <w:pPr>
              <w:spacing w:after="0"/>
              <w:rPr>
                <w:sz w:val="14"/>
                <w:szCs w:val="1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06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2014</w:t>
            </w:r>
          </w:p>
        </w:tc>
        <w:tc>
          <w:tcPr>
            <w:tcW w:w="3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1"/>
                <w:szCs w:val="21"/>
                <w:color w:val="auto"/>
              </w:rPr>
            </w:pPr>
          </w:p>
        </w:tc>
        <w:tc>
          <w:tcPr>
            <w:tcW w:w="1500" w:type="dxa"/>
            <w:vAlign w:val="bottom"/>
          </w:tcPr>
          <w:p>
            <w:pPr>
              <w:jc w:val="right"/>
              <w:ind w:right="17"/>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following table summarizes the Company’s financial instruments measured at fair value on a recurring basis in accordance with the authoritative guidance for fair value measurements as of December 31, 2013 (in thousands):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F- 13</w:t>
      </w:r>
    </w:p>
    <w:p>
      <w:pPr>
        <w:sectPr>
          <w:pgSz w:w="11900" w:h="16838" w:orient="portrait"/>
          <w:cols w:equalWidth="0" w:num="1">
            <w:col w:w="11380"/>
          </w:cols>
          <w:pgMar w:left="240" w:top="125" w:right="27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Balance as of</w:t>
            </w:r>
          </w:p>
        </w:tc>
        <w:tc>
          <w:tcPr>
            <w:tcW w:w="10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58"/>
        </w:trPr>
        <w:tc>
          <w:tcPr>
            <w:tcW w:w="66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1"/>
              </w:rPr>
              <w:t>December 31, 2013</w:t>
            </w:r>
          </w:p>
        </w:tc>
        <w:tc>
          <w:tcPr>
            <w:tcW w:w="10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3"/>
          </w:tcPr>
          <w:p>
            <w:pPr>
              <w:ind w:left="40"/>
              <w:spacing w:after="0"/>
              <w:rPr>
                <w:sz w:val="20"/>
                <w:szCs w:val="20"/>
                <w:color w:val="auto"/>
              </w:rPr>
            </w:pPr>
            <w:r>
              <w:rPr>
                <w:rFonts w:ascii="Arial" w:cs="Arial" w:eastAsia="Arial" w:hAnsi="Arial"/>
                <w:sz w:val="18"/>
                <w:szCs w:val="18"/>
                <w:color w:val="auto"/>
              </w:rPr>
              <w:t>Cash equivalents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Treasury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37"/>
        </w:trPr>
        <w:tc>
          <w:tcPr>
            <w:tcW w:w="6640" w:type="dxa"/>
            <w:vAlign w:val="bottom"/>
            <w:gridSpan w:val="3"/>
          </w:tcPr>
          <w:p>
            <w:pPr>
              <w:ind w:left="40"/>
              <w:spacing w:after="0"/>
              <w:rPr>
                <w:sz w:val="20"/>
                <w:szCs w:val="20"/>
                <w:color w:val="auto"/>
              </w:rPr>
            </w:pPr>
            <w:r>
              <w:rPr>
                <w:rFonts w:ascii="Arial" w:cs="Arial" w:eastAsia="Arial" w:hAnsi="Arial"/>
                <w:sz w:val="18"/>
                <w:szCs w:val="18"/>
                <w:color w:val="auto"/>
              </w:rPr>
              <w:t>Total cash equivalents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Available-for-sale:</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Government agency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560"/>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2,829</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560"/>
              <w:spacing w:after="0"/>
              <w:rPr>
                <w:sz w:val="20"/>
                <w:szCs w:val="20"/>
                <w:color w:val="auto"/>
              </w:rPr>
            </w:pPr>
            <w:r>
              <w:rPr>
                <w:rFonts w:ascii="Arial" w:cs="Arial" w:eastAsia="Arial" w:hAnsi="Arial"/>
                <w:sz w:val="18"/>
                <w:szCs w:val="18"/>
                <w:color w:val="auto"/>
              </w:rPr>
              <w:t>Corporate debentures / bonds</w:t>
            </w: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10,638</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19,178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r>
        <w:trPr>
          <w:trHeight w:val="223"/>
        </w:trPr>
        <w:tc>
          <w:tcPr>
            <w:tcW w:w="6640" w:type="dxa"/>
            <w:vAlign w:val="bottom"/>
            <w:gridSpan w:val="3"/>
          </w:tcPr>
          <w:p>
            <w:pPr>
              <w:ind w:left="40"/>
              <w:spacing w:after="0"/>
              <w:rPr>
                <w:sz w:val="20"/>
                <w:szCs w:val="20"/>
                <w:color w:val="auto"/>
              </w:rPr>
            </w:pPr>
            <w:r>
              <w:rPr>
                <w:rFonts w:ascii="Arial" w:cs="Arial" w:eastAsia="Arial" w:hAnsi="Arial"/>
                <w:sz w:val="18"/>
                <w:szCs w:val="18"/>
                <w:color w:val="auto"/>
              </w:rPr>
              <w:t>Long-term marketable securities:</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Available-for-sale: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600" w:type="dxa"/>
            <w:vAlign w:val="bottom"/>
            <w:gridSpan w:val="2"/>
          </w:tcPr>
          <w:p>
            <w:pPr>
              <w:ind w:left="56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60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Corporate debentures / bonds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37"/>
        </w:trPr>
        <w:tc>
          <w:tcPr>
            <w:tcW w:w="6640" w:type="dxa"/>
            <w:vAlign w:val="bottom"/>
            <w:gridSpan w:val="3"/>
          </w:tcPr>
          <w:p>
            <w:pPr>
              <w:ind w:left="4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financial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23,108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23,108</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the Company had no short- or long-term marketable securities.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and 2013, the Company had no outstanding foreign currency exchange forward contracts.</w:t>
      </w:r>
    </w:p>
    <w:p>
      <w:pPr>
        <w:spacing w:after="0" w:line="11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years ended December 31, 2014, 2013 and 2012, the Company recorded foreign currency losses on foreign currency denominated transactions of approximately $176,000, $183,000 and $51,000, respectively. The loss during the years ended December 31, 2014 and 2013 primarily related to foreign currency losses on foreign currency denominated bank accounts. The loss during the year ended December 31, 2012 primarily related to foreign currency losses on South Korean won denominated trade payables.</w:t>
      </w:r>
    </w:p>
    <w:p>
      <w:pPr>
        <w:spacing w:after="0" w:line="79"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All recorded gains and losses on foreign exchange transactions are recorded in other income (expense), net, within the consolidated statements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58"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Carrying values and fair values of financial instruments that are not carried at fair value in the consolidated balance sheets are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760" w:type="dxa"/>
            <w:vAlign w:val="bottom"/>
            <w:tcBorders>
              <w:bottom w:val="single" w:sz="8" w:color="auto"/>
            </w:tcBorders>
            <w:gridSpan w:val="4"/>
          </w:tcPr>
          <w:p>
            <w:pPr>
              <w:jc w:val="right"/>
              <w:ind w:right="1156"/>
              <w:spacing w:after="0"/>
              <w:rPr>
                <w:sz w:val="20"/>
                <w:szCs w:val="20"/>
                <w:color w:val="auto"/>
              </w:rPr>
            </w:pPr>
            <w:r>
              <w:rPr>
                <w:rFonts w:ascii="Arial" w:cs="Arial" w:eastAsia="Arial" w:hAnsi="Arial"/>
                <w:sz w:val="14"/>
                <w:szCs w:val="14"/>
                <w:b w:val="1"/>
                <w:bCs w:val="1"/>
                <w:color w:val="auto"/>
              </w:rPr>
              <w:t>As of December 31, 2014</w:t>
            </w:r>
          </w:p>
        </w:tc>
      </w:tr>
      <w:tr>
        <w:trPr>
          <w:trHeight w:val="264"/>
        </w:trPr>
        <w:tc>
          <w:tcPr>
            <w:tcW w:w="68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22"/>
                <w:szCs w:val="22"/>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Carrying Amount</w:t>
            </w:r>
          </w:p>
        </w:tc>
        <w:tc>
          <w:tcPr>
            <w:tcW w:w="380" w:type="dxa"/>
            <w:vAlign w:val="bottom"/>
          </w:tcPr>
          <w:p>
            <w:pPr>
              <w:spacing w:after="0"/>
              <w:rPr>
                <w:sz w:val="22"/>
                <w:szCs w:val="22"/>
                <w:color w:val="auto"/>
              </w:rPr>
            </w:pPr>
          </w:p>
        </w:tc>
        <w:tc>
          <w:tcPr>
            <w:tcW w:w="1580" w:type="dxa"/>
            <w:vAlign w:val="bottom"/>
          </w:tcPr>
          <w:p>
            <w:pPr>
              <w:jc w:val="right"/>
              <w:ind w:right="576"/>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6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5,158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5,158</w:t>
            </w:r>
          </w:p>
        </w:tc>
      </w:tr>
      <w:tr>
        <w:trPr>
          <w:trHeight w:val="257"/>
        </w:trPr>
        <w:tc>
          <w:tcPr>
            <w:tcW w:w="6820" w:type="dxa"/>
            <w:vAlign w:val="bottom"/>
          </w:tcPr>
          <w:p>
            <w:pPr>
              <w:ind w:left="40"/>
              <w:spacing w:after="0"/>
              <w:rPr>
                <w:sz w:val="20"/>
                <w:szCs w:val="20"/>
                <w:color w:val="auto"/>
              </w:rPr>
            </w:pPr>
            <w:r>
              <w:rPr>
                <w:rFonts w:ascii="Arial" w:cs="Arial" w:eastAsia="Arial" w:hAnsi="Arial"/>
                <w:sz w:val="18"/>
                <w:szCs w:val="18"/>
                <w:color w:val="auto"/>
              </w:rPr>
              <w:t>Total other financial instruments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5,158</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5,158</w:t>
            </w:r>
          </w:p>
        </w:tc>
      </w:tr>
      <w:tr>
        <w:trPr>
          <w:trHeight w:val="20"/>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Financial Statement Details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did not have any short-term or long-term marketable securities at December 31, 2014.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20" w:firstLine="432"/>
        <w:spacing w:after="0" w:line="277" w:lineRule="auto"/>
        <w:rPr>
          <w:sz w:val="20"/>
          <w:szCs w:val="20"/>
          <w:color w:val="auto"/>
        </w:rPr>
      </w:pPr>
      <w:r>
        <w:rPr>
          <w:rFonts w:ascii="Arial" w:cs="Arial" w:eastAsia="Arial" w:hAnsi="Arial"/>
          <w:sz w:val="18"/>
          <w:szCs w:val="18"/>
          <w:color w:val="auto"/>
        </w:rPr>
        <w:t>The following table summarizes the Company’s portfolio of available-for-sale securities by contractual maturity as of December 31, 2013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Maturity in</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2013</w:t>
            </w: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Years</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6"/>
                <w:szCs w:val="16"/>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Government agency securities</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or less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bonds</w:t>
            </w:r>
          </w:p>
        </w:tc>
        <w:tc>
          <w:tcPr>
            <w:tcW w:w="1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1 or less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1 or less</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debentures / bonds</w:t>
            </w:r>
          </w:p>
        </w:tc>
        <w:tc>
          <w:tcPr>
            <w:tcW w:w="1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1 or less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10,638</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8"/>
                <w:szCs w:val="18"/>
                <w:color w:val="auto"/>
              </w:rPr>
              <w:t>Total short-term marketable securities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19,173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19,178</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Certificates of deposit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1 to 2</w:t>
            </w:r>
          </w:p>
        </w:tc>
        <w:tc>
          <w:tcPr>
            <w:tcW w:w="14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debentures / bonds</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1 to 2</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8"/>
                <w:szCs w:val="18"/>
                <w:color w:val="auto"/>
              </w:rPr>
              <w:t>Total long-term marketable securities</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22,621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Company’s available-for-sale securities are carried on the consolidated balance sheet at fair market value with the related unrealized gains and losses included in accumulated other comprehensive loss on the consolidated balance sheet, which is a separate component of stockholders’ equity. Realized gains and losses on the sale of available-for-sale marketable securities are determined using the specific-identification method.</w:t>
      </w:r>
    </w:p>
    <w:p>
      <w:pPr>
        <w:spacing w:after="0" w:line="30"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At December 31, 2014 and 2013, the Company recorded net unrealized gains of $0 and $5,000, respectively. The Company’s net unrealized loss is the result of market conditions affecting its fixed-income debt securities, which are included in accumulated other comprehensive income on the consolidated balance sheet for the periods then 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33,045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20,870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Raw materials and components</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4,758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6,923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37,803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27,793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Property and Equipment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40"/>
              <w:spacing w:after="0"/>
              <w:rPr>
                <w:sz w:val="20"/>
                <w:szCs w:val="20"/>
                <w:color w:val="auto"/>
              </w:rPr>
            </w:pPr>
            <w:r>
              <w:rPr>
                <w:rFonts w:ascii="Arial" w:cs="Arial" w:eastAsia="Arial" w:hAnsi="Arial"/>
                <w:sz w:val="18"/>
                <w:szCs w:val="18"/>
                <w:color w:val="auto"/>
              </w:rPr>
              <w:t>Property and equipment consists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Test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53,019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Computer equipment and purchased software</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11,247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10,814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tooling</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6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73,728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72,235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Less—accumulated 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(68,449)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(62,334)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5,279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For the years ended December 31, 2014, 2013 and 2012, the Company recorded $0, $70,000 and $100,000, respectively, in its cost of net revenues as a result of its impairment analysis of property and equipment.</w:t>
      </w:r>
    </w:p>
    <w:p>
      <w:pPr>
        <w:spacing w:after="0" w:line="3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Depreciation expense relating to property and equipment was $6.3 million, $7.9 million and $9.4 million for the years ended December 31, 2014, 2013 and 2012,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F- 15</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Royalties</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Payroll and related expenses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8,038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Market development funds and price protection</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2,502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7"/>
              </w:rPr>
              <w:t>23,844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23,271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Accrued Warranty Obligations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340" w:type="dxa"/>
            <w:vAlign w:val="bottom"/>
          </w:tcPr>
          <w:p>
            <w:pPr>
              <w:ind w:left="440"/>
              <w:spacing w:after="0"/>
              <w:rPr>
                <w:sz w:val="20"/>
                <w:szCs w:val="20"/>
                <w:color w:val="auto"/>
              </w:rPr>
            </w:pPr>
            <w:r>
              <w:rPr>
                <w:rFonts w:ascii="Arial" w:cs="Arial" w:eastAsia="Arial" w:hAnsi="Arial"/>
                <w:sz w:val="18"/>
                <w:szCs w:val="18"/>
                <w:color w:val="auto"/>
              </w:rPr>
              <w:t>Accrued warranty obligations consist of the following (in thousands):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3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liability at beginning of period</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Additions charged to operations</w:t>
            </w:r>
          </w:p>
        </w:tc>
        <w:tc>
          <w:tcPr>
            <w:tcW w:w="900" w:type="dxa"/>
            <w:vAlign w:val="bottom"/>
          </w:tcPr>
          <w:p>
            <w:pPr>
              <w:spacing w:after="0"/>
              <w:rPr>
                <w:sz w:val="21"/>
                <w:szCs w:val="21"/>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 from liability</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(2,393)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Warranty liability at end of period</w:t>
            </w: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amortizable purchased intangible assets resulting from its 2010 acquisition of Enfora are composed of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9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3"/>
                <w:szCs w:val="13"/>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Net</w:t>
            </w:r>
          </w:p>
        </w:tc>
        <w:tc>
          <w:tcPr>
            <w:tcW w:w="260" w:type="dxa"/>
            <w:vAlign w:val="bottom"/>
          </w:tcPr>
          <w:p>
            <w:pPr>
              <w:spacing w:after="0"/>
              <w:rPr>
                <w:sz w:val="13"/>
                <w:szCs w:val="13"/>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300" w:type="dxa"/>
            <w:vAlign w:val="bottom"/>
          </w:tcPr>
          <w:p>
            <w:pPr>
              <w:spacing w:after="0"/>
              <w:rPr>
                <w:sz w:val="13"/>
                <w:szCs w:val="13"/>
                <w:color w:val="auto"/>
              </w:rPr>
            </w:pPr>
          </w:p>
        </w:tc>
        <w:tc>
          <w:tcPr>
            <w:tcW w:w="8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138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12,800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9"/>
        </w:trPr>
        <w:tc>
          <w:tcPr>
            <w:tcW w:w="1380" w:type="dxa"/>
            <w:vAlign w:val="bottom"/>
          </w:tcPr>
          <w:p>
            <w:pPr>
              <w:ind w:left="40"/>
              <w:spacing w:after="0"/>
              <w:rPr>
                <w:sz w:val="20"/>
                <w:szCs w:val="20"/>
                <w:color w:val="auto"/>
              </w:rPr>
            </w:pPr>
            <w:r>
              <w:rPr>
                <w:rFonts w:ascii="Arial" w:cs="Arial" w:eastAsia="Arial" w:hAnsi="Arial"/>
                <w:sz w:val="18"/>
                <w:szCs w:val="18"/>
                <w:color w:val="auto"/>
                <w:w w:val="95"/>
              </w:rPr>
              <w:t>Total amortizable</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purchased</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42,520</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(11,647)</w:t>
            </w:r>
          </w:p>
        </w:tc>
        <w:tc>
          <w:tcPr>
            <w:tcW w:w="12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(29,749)</w:t>
            </w:r>
          </w:p>
        </w:tc>
        <w:tc>
          <w:tcPr>
            <w:tcW w:w="12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right"/>
              <w:ind w:right="36"/>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34"/>
              <w:spacing w:after="0"/>
              <w:rPr>
                <w:sz w:val="20"/>
                <w:szCs w:val="20"/>
                <w:color w:val="auto"/>
              </w:rPr>
            </w:pPr>
            <w:r>
              <w:rPr>
                <w:rFonts w:ascii="Arial" w:cs="Arial" w:eastAsia="Arial" w:hAnsi="Arial"/>
                <w:sz w:val="18"/>
                <w:szCs w:val="18"/>
                <w:color w:val="auto"/>
              </w:rPr>
              <w:t>42,520</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(10,752)</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(29,749)</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14"/>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42"/>
        </w:trPr>
        <w:tc>
          <w:tcPr>
            <w:tcW w:w="1380" w:type="dxa"/>
            <w:vAlign w:val="bottom"/>
          </w:tcPr>
          <w:p>
            <w:pPr>
              <w:ind w:left="40"/>
              <w:spacing w:after="0"/>
              <w:rPr>
                <w:sz w:val="20"/>
                <w:szCs w:val="20"/>
                <w:color w:val="auto"/>
              </w:rPr>
            </w:pPr>
            <w:r>
              <w:rPr>
                <w:rFonts w:ascii="Arial" w:cs="Arial" w:eastAsia="Arial" w:hAnsi="Arial"/>
                <w:sz w:val="18"/>
                <w:szCs w:val="18"/>
                <w:color w:val="auto"/>
                <w:w w:val="98"/>
              </w:rPr>
              <w:t>intangible assets</w:t>
            </w:r>
          </w:p>
        </w:tc>
        <w:tc>
          <w:tcPr>
            <w:tcW w:w="24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presents details of the amortization of purchased intangible assets included in the cost of net revenues and general and administrative expense categories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6"/>
                <w:szCs w:val="16"/>
                <w:color w:val="auto"/>
              </w:rPr>
            </w:pPr>
          </w:p>
        </w:tc>
      </w:tr>
      <w:tr>
        <w:trPr>
          <w:trHeight w:val="264"/>
        </w:trPr>
        <w:tc>
          <w:tcPr>
            <w:tcW w:w="4100" w:type="dxa"/>
            <w:vAlign w:val="bottom"/>
            <w:tcBorders>
              <w:bottom w:val="single" w:sz="8" w:color="CCEEFF"/>
            </w:tcBorders>
          </w:tcPr>
          <w:p>
            <w:pPr>
              <w:spacing w:after="0"/>
              <w:rPr>
                <w:sz w:val="22"/>
                <w:szCs w:val="22"/>
                <w:color w:val="auto"/>
              </w:rPr>
            </w:pPr>
          </w:p>
        </w:tc>
        <w:tc>
          <w:tcPr>
            <w:tcW w:w="42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auto"/>
            </w:tcBorders>
          </w:tcPr>
          <w:p>
            <w:pPr>
              <w:spacing w:after="0"/>
              <w:rPr>
                <w:sz w:val="22"/>
                <w:szCs w:val="22"/>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524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r>
      <w:tr>
        <w:trPr>
          <w:trHeight w:val="243"/>
        </w:trPr>
        <w:tc>
          <w:tcPr>
            <w:tcW w:w="410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4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562</w:t>
            </w:r>
          </w:p>
        </w:tc>
      </w:tr>
      <w:tr>
        <w:trPr>
          <w:trHeight w:val="27"/>
        </w:trPr>
        <w:tc>
          <w:tcPr>
            <w:tcW w:w="410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5240" w:type="dxa"/>
            <w:vAlign w:val="bottom"/>
            <w:tcBorders>
              <w:bottom w:val="single" w:sz="8" w:color="CCEEFF"/>
            </w:tcBorders>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4100" w:type="dxa"/>
            <w:vAlign w:val="bottom"/>
          </w:tcPr>
          <w:p>
            <w:pPr>
              <w:spacing w:after="0"/>
              <w:rPr>
                <w:sz w:val="24"/>
                <w:szCs w:val="24"/>
                <w:color w:val="auto"/>
              </w:rPr>
            </w:pPr>
          </w:p>
        </w:tc>
        <w:tc>
          <w:tcPr>
            <w:tcW w:w="5240" w:type="dxa"/>
            <w:vAlign w:val="bottom"/>
            <w:gridSpan w:val="2"/>
          </w:tcPr>
          <w:p>
            <w:pPr>
              <w:jc w:val="right"/>
              <w:ind w:right="3368"/>
              <w:spacing w:after="0"/>
              <w:rPr>
                <w:sz w:val="20"/>
                <w:szCs w:val="20"/>
                <w:color w:val="auto"/>
              </w:rPr>
            </w:pPr>
            <w:r>
              <w:rPr>
                <w:rFonts w:ascii="Arial" w:cs="Arial" w:eastAsia="Arial" w:hAnsi="Arial"/>
                <w:sz w:val="18"/>
                <w:szCs w:val="18"/>
                <w:color w:val="auto"/>
              </w:rPr>
              <w:t>F- 16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The following table presents details of the amortization of existing amortizable purchased intangible assets of Enfora that is currently estimated to be expensed in the future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4"/>
              </w:rPr>
              <w:t>Amount</w:t>
            </w:r>
          </w:p>
        </w:tc>
      </w:tr>
      <w:tr>
        <w:trPr>
          <w:trHeight w:val="250"/>
        </w:trPr>
        <w:tc>
          <w:tcPr>
            <w:tcW w:w="10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562</w:t>
            </w:r>
          </w:p>
        </w:tc>
      </w:tr>
      <w:tr>
        <w:trPr>
          <w:trHeight w:val="243"/>
        </w:trPr>
        <w:tc>
          <w:tcPr>
            <w:tcW w:w="10620" w:type="dxa"/>
            <w:vAlign w:val="bottom"/>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562</w:t>
            </w:r>
          </w:p>
        </w:tc>
      </w:tr>
      <w:tr>
        <w:trPr>
          <w:trHeight w:val="27"/>
        </w:trPr>
        <w:tc>
          <w:tcPr>
            <w:tcW w:w="10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69"/>
        </w:trPr>
        <w:tc>
          <w:tcPr>
            <w:tcW w:w="10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w:t>
            </w:r>
          </w:p>
        </w:tc>
      </w:tr>
      <w:tr>
        <w:trPr>
          <w:trHeight w:val="20"/>
        </w:trPr>
        <w:tc>
          <w:tcPr>
            <w:tcW w:w="10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Additionally, at December 31, 2014 and 2013, the Company had net acquired software licenses and other intangibles of $369,000 and $112,000, respectively, net of accumulated amortization of $2.4 million and $2.2 million, respectively. The acquired software licenses represent rights to use certain software necessary for the development and commercial sale of the Company’s products.</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The Company monitors its intangible and long-lived asset balances and conducts formal tests when impairment indicators are present. There was no impairment loss recorded for the year ended December 31, 2014 and 2013. For the year ended December 31, 2012, the Company recorded an impairment loss of $49.5 million.</w:t>
      </w:r>
    </w:p>
    <w:p>
      <w:pPr>
        <w:spacing w:after="0" w:line="46"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Amortization expense relating to acquired software licenses and other intangibles was $173,000, $113,000 and $196,000 for the years ended December 31, 2014, 2013 and 2012, respectively. Amortization expense related to licenses obtained for research purposes is recorded within research and development expense in the consolidated statements of operations. Amortization expense related to licenses obtained for commercial products is recorded in cost of net revenues in the consolidated statements of operations.</w:t>
      </w:r>
    </w:p>
    <w:p>
      <w:pPr>
        <w:spacing w:after="0" w:line="5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At December 31, 2014, the weighted average remaining useful life of the Company’s long-lived intangible assets including acquired software licenses is 2.0 years.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75"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The Company evaluates stock options, stock warrants or other contracts to determine if those contracts or embedded components of those contracts qualify as derivative financial instruments to be separately accounted for under the relevant sections of FASB Accounting Standards Codification. The result of this accounting treatment could be that the fair value of a financial instrument is classified as a derivative financial instrument and is marked-to-market at each balance sheet date and recorded as an asset or liability. In the event that the fair value is recorded as an asset or liability, the change in fair value is recorded in the statement of operations as other income or other expense. Upon conversion, exercise or expiration of a derivative financial instrument, the instrument is marked to fair value and then that fair value is reclassified to equity.</w:t>
      </w:r>
    </w:p>
    <w:p>
      <w:pPr>
        <w:spacing w:after="0" w:line="124" w:lineRule="exact"/>
        <w:rPr>
          <w:sz w:val="20"/>
          <w:szCs w:val="20"/>
          <w:color w:val="auto"/>
        </w:rPr>
      </w:pPr>
    </w:p>
    <w:p>
      <w:pPr>
        <w:ind w:right="200" w:firstLine="392"/>
        <w:spacing w:after="0" w:line="286" w:lineRule="auto"/>
        <w:rPr>
          <w:sz w:val="20"/>
          <w:szCs w:val="20"/>
          <w:color w:val="auto"/>
        </w:rPr>
      </w:pPr>
      <w:r>
        <w:rPr>
          <w:rFonts w:ascii="Arial" w:cs="Arial" w:eastAsia="Arial" w:hAnsi="Arial"/>
          <w:sz w:val="17"/>
          <w:szCs w:val="17"/>
          <w:color w:val="auto"/>
        </w:rPr>
        <w:t>Certain of the Company’s outstanding warrants were treated as derivative liabilities for accounting purposes due to insufficient authorized shares to settle these outstanding contracts at the time of issuance. These common stock purchase warrants did not trade in an active securities market. The Company estimated the fair value of these warrant liabilities using a Monte Carlo simulation option pricing model.</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Revolving Credit Facility</w:t>
      </w:r>
    </w:p>
    <w:p>
      <w:pPr>
        <w:spacing w:after="0" w:line="94" w:lineRule="exact"/>
        <w:rPr>
          <w:sz w:val="20"/>
          <w:szCs w:val="20"/>
          <w:color w:val="auto"/>
        </w:rPr>
      </w:pPr>
    </w:p>
    <w:p>
      <w:pPr>
        <w:ind w:right="300" w:firstLine="392"/>
        <w:spacing w:after="0" w:line="277" w:lineRule="auto"/>
        <w:rPr>
          <w:sz w:val="20"/>
          <w:szCs w:val="20"/>
          <w:color w:val="auto"/>
        </w:rPr>
      </w:pPr>
      <w:r>
        <w:rPr>
          <w:rFonts w:ascii="Arial" w:cs="Arial" w:eastAsia="Arial" w:hAnsi="Arial"/>
          <w:sz w:val="18"/>
          <w:szCs w:val="18"/>
          <w:color w:val="auto"/>
        </w:rPr>
        <w:t>On October 31, 2014, the Company and one of its subsidiaries entered into a five-year senior secured revolving credit facility in the amount of $25.0 million (the “Revolver”) with Wells Fargo Bank, National Association, as lender.</w:t>
      </w:r>
    </w:p>
    <w:p>
      <w:pPr>
        <w:spacing w:after="0" w:line="35" w:lineRule="exact"/>
        <w:rPr>
          <w:sz w:val="20"/>
          <w:szCs w:val="20"/>
          <w:color w:val="auto"/>
        </w:rPr>
      </w:pPr>
    </w:p>
    <w:p>
      <w:pPr>
        <w:ind w:right="60" w:firstLine="392"/>
        <w:spacing w:after="0" w:line="259" w:lineRule="auto"/>
        <w:rPr>
          <w:sz w:val="20"/>
          <w:szCs w:val="20"/>
          <w:color w:val="auto"/>
        </w:rPr>
      </w:pPr>
      <w:r>
        <w:rPr>
          <w:rFonts w:ascii="Arial" w:cs="Arial" w:eastAsia="Arial" w:hAnsi="Arial"/>
          <w:sz w:val="18"/>
          <w:szCs w:val="18"/>
          <w:color w:val="auto"/>
        </w:rPr>
        <w:t>The amount of borrowings that may be made under the Revolver is based on a borrowing base comprised of a specified percentage of eligible receivables. If, at any time during the term of the Revolver, the amount of borrowings outstanding under the Revolver exceeds the borrowing base then in effect or the maximum revolver amount of $25.0 million, the Company is required to repay such borrowings in an amount sufficient to eliminate such excess. The Revolver includes $3.0 million of availability for letters of credit.</w:t>
      </w:r>
    </w:p>
    <w:p>
      <w:pPr>
        <w:spacing w:after="0" w:line="133" w:lineRule="exact"/>
        <w:rPr>
          <w:sz w:val="20"/>
          <w:szCs w:val="20"/>
          <w:color w:val="auto"/>
        </w:rPr>
      </w:pPr>
    </w:p>
    <w:p>
      <w:pPr>
        <w:ind w:right="100" w:firstLine="392"/>
        <w:spacing w:after="0" w:line="302" w:lineRule="auto"/>
        <w:rPr>
          <w:sz w:val="20"/>
          <w:szCs w:val="20"/>
          <w:color w:val="auto"/>
        </w:rPr>
      </w:pPr>
      <w:r>
        <w:rPr>
          <w:rFonts w:ascii="Arial" w:cs="Arial" w:eastAsia="Arial" w:hAnsi="Arial"/>
          <w:sz w:val="16"/>
          <w:szCs w:val="16"/>
          <w:color w:val="auto"/>
        </w:rPr>
        <w:t>The Company may borrow funds under the Revolver from time to time, with interest payable monthly at a base rate determined by using the daily three month LIBOR rate, plus an applicable margin of 2.50% to 3.00% depending on the Company’s liquidity as determined on the last day of each calendar month. The Revolver is secured by a first priority lien on substantially all of the assets of the Company and certain of its subsidiaries, subject to certain exceptions and permitted liens. The Revolver includes customary representations and warranties, as well as customary reporting and financial covenants.</w:t>
      </w:r>
    </w:p>
    <w:p>
      <w:pPr>
        <w:spacing w:after="0" w:line="19"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At December 31, 2014, the balance of the revolving credit facility was approximately $5.2 million, with a weighted average effective interest rate of 2.8% and the Company had available borrowings of approximately $12.1 million. At December 31, 2014, the Company was in compliance with all financial covenants contained in the credit agreement.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F- 17</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w:t>
      </w:r>
    </w:p>
    <w:p>
      <w:pPr>
        <w:spacing w:after="0" w:line="94"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Basic earnings per share (“EPS”) excludes dilution and is computed by dividing net income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of warrants, options and restricted stock units (“RSUs”) and employee stock purchase plan (“ESPP”) withholdings calculated using the treasury stock method) are excluded from the diluted EPS computation in loss periods and when the applicable exercise price is greater than the market price on the period end date as their effect would be anti-dilutive.</w:t>
      </w:r>
    </w:p>
    <w:p>
      <w:pPr>
        <w:spacing w:after="0" w:line="5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Weighted average options, restricted stock units, warrants and ESPP shares to acquire a total of 8,130,000 shares, 4,424,000 shares and 5,793,000 shares of common stock for the years ended December 31, 2014, 2013 and 2012, respectively, were outstanding but not included in the computation of diluted earnings per share as their effect was anti-dilutive.</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536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2012</w:t>
            </w:r>
          </w:p>
        </w:tc>
      </w:tr>
      <w:tr>
        <w:trPr>
          <w:trHeight w:val="250"/>
        </w:trPr>
        <w:tc>
          <w:tcPr>
            <w:tcW w:w="536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6"/>
          </w:tcPr>
          <w:p>
            <w:pPr>
              <w:jc w:val="center"/>
              <w:ind w:left="15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420" w:type="dxa"/>
            <w:vAlign w:val="bottom"/>
            <w:tcBorders>
              <w:bottom w:val="single" w:sz="8" w:color="auto"/>
            </w:tcBorders>
          </w:tcPr>
          <w:p>
            <w:pPr>
              <w:spacing w:after="0"/>
              <w:rPr>
                <w:sz w:val="21"/>
                <w:szCs w:val="2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Net loss attributable to common shareholders:</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(39,674)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(43,413)</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(89,266)</w:t>
            </w:r>
          </w:p>
        </w:tc>
      </w:tr>
      <w:tr>
        <w:trPr>
          <w:trHeight w:val="27"/>
        </w:trPr>
        <w:tc>
          <w:tcPr>
            <w:tcW w:w="5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1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2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37,959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7"/>
              <w:spacing w:after="0"/>
              <w:rPr>
                <w:sz w:val="20"/>
                <w:szCs w:val="20"/>
                <w:color w:val="auto"/>
              </w:rPr>
            </w:pPr>
            <w:r>
              <w:rPr>
                <w:rFonts w:ascii="Arial" w:cs="Arial" w:eastAsia="Arial" w:hAnsi="Arial"/>
                <w:sz w:val="18"/>
                <w:szCs w:val="18"/>
                <w:color w:val="auto"/>
              </w:rPr>
              <w:t>33,948</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32,852</w:t>
            </w:r>
          </w:p>
        </w:tc>
      </w:tr>
      <w:tr>
        <w:trPr>
          <w:trHeight w:val="27"/>
        </w:trPr>
        <w:tc>
          <w:tcPr>
            <w:tcW w:w="536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53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 and diluted net loss per share attributable to common</w:t>
            </w:r>
          </w:p>
        </w:tc>
        <w:tc>
          <w:tcPr>
            <w:tcW w:w="1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7"/>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shareholders</w:t>
            </w: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0"/>
        </w:trPr>
        <w:tc>
          <w:tcPr>
            <w:tcW w:w="5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90"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 has a total of 2,000,000 shares of Series A and Series B preferred stock authorized for issuance at a par value of $0.001 per share. No preferred shares are currently issued or outstanding.</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Common Shares Reserved for Future Issuance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has reserved shares of common stock for possible future issuance as of December 31, 2014 and 2013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98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rPr>
              <w:t>Shares</w:t>
            </w:r>
          </w:p>
        </w:tc>
        <w:tc>
          <w:tcPr>
            <w:tcW w:w="110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warrants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 options outstanding under the 2009 Omnibus Incentive Compensation Plan and previous plans</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3,065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3,933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outstanding</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Future grants of awards under the 2009 Omnibus Incentive Compensation Plan</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4,463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3,668</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available under the Employee Stock Purchase Plan</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shares of common stock reserved for issuance</w:t>
            </w: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14,660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10,209</w:t>
            </w: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and Employee Stock Purchase Plans</w:t>
      </w:r>
    </w:p>
    <w:p>
      <w:pPr>
        <w:spacing w:after="0" w:line="94"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During the year ended December 31, 2014, the Company granted awards under the 2009 Omnibus Incentive Compensation Plan (the “2009 Plan”). The Compensation Committee of the Board of Directors administers the plan.</w:t>
      </w:r>
    </w:p>
    <w:p>
      <w:pPr>
        <w:spacing w:after="0" w:line="35"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Under the 2009 Plan, a maximum of 10.0 million shares of common stock may be issued upon the exercise of stock options, in the form of restricted stock, or in settlement of restricted stock units or other awards, including awards with alternative vesting schedules such as performance-based criteria.</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For the years ended December 31, 2014, 2013 and 2012, the following table presents total share-based compensation expense in each functional line item on our consolidated statements of operations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3,042</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2,682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2,308</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3,588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Included in share-based compensation for the year ended December 31, 2014 is approximately $1.3 million of share-based compensation related to the departure of the Company’s former Chief Executive Officer and the vesting of all of his restricted stock units and options immediately upon his departure in accordance with the terms of his employment agreement.</w:t>
      </w:r>
    </w:p>
    <w:p>
      <w:pPr>
        <w:spacing w:after="0" w:line="73"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per share fair values of stock options granted under the 2009 Plan and rights granted under the ESPP have been estimated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728"/>
              <w:spacing w:after="0"/>
              <w:rPr>
                <w:sz w:val="20"/>
                <w:szCs w:val="20"/>
                <w:color w:val="auto"/>
              </w:rPr>
            </w:pPr>
            <w:r>
              <w:rPr>
                <w:rFonts w:ascii="Arial" w:cs="Arial" w:eastAsia="Arial" w:hAnsi="Arial"/>
                <w:sz w:val="14"/>
                <w:szCs w:val="14"/>
                <w:b w:val="1"/>
                <w:bCs w:val="1"/>
                <w:color w:val="auto"/>
                <w:w w:val="90"/>
              </w:rPr>
              <w:t>Employee Stock Options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Employee Stock Purchase Rights</w:t>
            </w:r>
          </w:p>
        </w:tc>
        <w:tc>
          <w:tcPr>
            <w:tcW w:w="900" w:type="dxa"/>
            <w:vAlign w:val="bottom"/>
            <w:tcBorders>
              <w:bottom w:val="single" w:sz="8" w:color="auto"/>
            </w:tcBorders>
          </w:tcPr>
          <w:p>
            <w:pPr>
              <w:spacing w:after="0"/>
              <w:rPr>
                <w:sz w:val="16"/>
                <w:szCs w:val="16"/>
                <w:color w:val="auto"/>
              </w:rPr>
            </w:pPr>
          </w:p>
        </w:tc>
      </w:tr>
      <w:tr>
        <w:trPr>
          <w:trHeight w:val="264"/>
        </w:trPr>
        <w:tc>
          <w:tcPr>
            <w:tcW w:w="316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2012</w:t>
            </w: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8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908"/>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928"/>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2"/>
              </w:rPr>
              <w:t>1.4%</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0.8%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5.4%</w:t>
            </w:r>
          </w:p>
        </w:tc>
        <w:tc>
          <w:tcPr>
            <w:tcW w:w="100" w:type="dxa"/>
            <w:vAlign w:val="bottom"/>
          </w:tcPr>
          <w:p>
            <w:pPr>
              <w:spacing w:after="0"/>
              <w:rPr>
                <w:sz w:val="21"/>
                <w:szCs w:val="21"/>
                <w:color w:val="auto"/>
              </w:rPr>
            </w:pPr>
          </w:p>
        </w:tc>
        <w:tc>
          <w:tcPr>
            <w:tcW w:w="180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3980" w:type="dxa"/>
            <w:vAlign w:val="bottom"/>
            <w:gridSpan w:val="2"/>
          </w:tcPr>
          <w:p>
            <w:pPr>
              <w:ind w:left="40"/>
              <w:spacing w:after="0"/>
              <w:rPr>
                <w:sz w:val="20"/>
                <w:szCs w:val="20"/>
                <w:color w:val="auto"/>
              </w:rPr>
            </w:pPr>
            <w:r>
              <w:rPr>
                <w:rFonts w:ascii="Arial" w:cs="Arial" w:eastAsia="Arial" w:hAnsi="Arial"/>
                <w:sz w:val="18"/>
                <w:szCs w:val="18"/>
                <w:color w:val="auto"/>
              </w:rPr>
              <w:t>Expected term (in years):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w w:val="95"/>
              </w:rPr>
              <w:t>4.6</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114"/>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21"/>
                <w:szCs w:val="21"/>
                <w:color w:val="auto"/>
              </w:rPr>
            </w:pPr>
          </w:p>
        </w:tc>
        <w:tc>
          <w:tcPr>
            <w:tcW w:w="1300" w:type="dxa"/>
            <w:vAlign w:val="bottom"/>
          </w:tcPr>
          <w:p>
            <w:pPr>
              <w:jc w:val="right"/>
              <w:ind w:right="114"/>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94"/>
              <w:spacing w:after="0"/>
              <w:rPr>
                <w:sz w:val="20"/>
                <w:szCs w:val="20"/>
                <w:color w:val="auto"/>
              </w:rPr>
            </w:pPr>
            <w:r>
              <w:rPr>
                <w:rFonts w:ascii="Arial" w:cs="Arial" w:eastAsia="Arial" w:hAnsi="Arial"/>
                <w:sz w:val="18"/>
                <w:szCs w:val="18"/>
                <w:color w:val="auto"/>
              </w:rPr>
              <w:t>1.3</w:t>
            </w:r>
          </w:p>
        </w:tc>
      </w:tr>
    </w:tbl>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Compensation Committee of the Board of Directors determines eligibility, vesting schedules and exercise prices for options granted. Options granted under the 2009 Plan and previous plans generally have a term of ten years, and in the case of new hires, generally vest and become exercisable at the rate of 33.3% after one year and ratably on a monthly basis over a period of 24 months thereafter. Subsequent option grants to existing employees generally have the same terms.</w:t>
      </w:r>
    </w:p>
    <w:p>
      <w:pPr>
        <w:spacing w:after="0" w:line="5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A summary of stock option activity for the years ended December 31, 2014 and 2013 is presented below (dollars and shares in thousands, except per share data):</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8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Price Per</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Term</w:t>
            </w:r>
          </w:p>
        </w:tc>
        <w:tc>
          <w:tcPr>
            <w:tcW w:w="300" w:type="dxa"/>
            <w:vAlign w:val="bottom"/>
          </w:tcPr>
          <w:p>
            <w:pPr>
              <w:spacing w:after="0"/>
              <w:rPr>
                <w:sz w:val="12"/>
                <w:szCs w:val="12"/>
                <w:color w:val="auto"/>
              </w:rPr>
            </w:pPr>
          </w:p>
        </w:tc>
        <w:tc>
          <w:tcPr>
            <w:tcW w:w="1280" w:type="dxa"/>
            <w:vAlign w:val="bottom"/>
          </w:tcPr>
          <w:p>
            <w:pPr>
              <w:jc w:val="center"/>
              <w:ind w:right="20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6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December 31, 2012</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4,282</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December 31, 2013</w:t>
            </w: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3,933</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1,658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Cancelled</w:t>
            </w:r>
          </w:p>
        </w:tc>
        <w:tc>
          <w:tcPr>
            <w:tcW w:w="1600" w:type="dxa"/>
            <w:vAlign w:val="bottom"/>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10.52</w:t>
            </w: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3,065</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w w:val="99"/>
              </w:rPr>
              <w:t>4.92 years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40"/>
              <w:spacing w:after="0"/>
              <w:rPr>
                <w:sz w:val="20"/>
                <w:szCs w:val="20"/>
                <w:color w:val="auto"/>
              </w:rPr>
            </w:pPr>
            <w:r>
              <w:rPr>
                <w:rFonts w:ascii="Arial" w:cs="Arial" w:eastAsia="Arial" w:hAnsi="Arial"/>
                <w:sz w:val="18"/>
                <w:szCs w:val="18"/>
                <w:color w:val="auto"/>
              </w:rPr>
              <w:t>Options Exercisable, December 31, 2014</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60" w:type="dxa"/>
            <w:vAlign w:val="bottom"/>
            <w:vMerge w:val="continue"/>
          </w:tcPr>
          <w:p>
            <w:pPr>
              <w:spacing w:after="0"/>
              <w:rPr>
                <w:sz w:val="21"/>
                <w:szCs w:val="21"/>
                <w:color w:val="auto"/>
              </w:rPr>
            </w:pPr>
          </w:p>
        </w:tc>
        <w:tc>
          <w:tcPr>
            <w:tcW w:w="16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1,769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6.80</w:t>
            </w:r>
          </w:p>
        </w:tc>
        <w:tc>
          <w:tcPr>
            <w:tcW w:w="120" w:type="dxa"/>
            <w:vAlign w:val="bottom"/>
          </w:tcPr>
          <w:p>
            <w:pPr>
              <w:spacing w:after="0"/>
              <w:rPr>
                <w:sz w:val="21"/>
                <w:szCs w:val="21"/>
                <w:color w:val="auto"/>
              </w:rPr>
            </w:pPr>
          </w:p>
        </w:tc>
        <w:tc>
          <w:tcPr>
            <w:tcW w:w="1680" w:type="dxa"/>
            <w:vAlign w:val="bottom"/>
            <w:gridSpan w:val="2"/>
          </w:tcPr>
          <w:p>
            <w:pPr>
              <w:ind w:left="820"/>
              <w:spacing w:after="0"/>
              <w:rPr>
                <w:sz w:val="20"/>
                <w:szCs w:val="20"/>
                <w:color w:val="auto"/>
              </w:rPr>
            </w:pPr>
            <w:r>
              <w:rPr>
                <w:rFonts w:ascii="Arial" w:cs="Arial" w:eastAsia="Arial" w:hAnsi="Arial"/>
                <w:sz w:val="18"/>
                <w:szCs w:val="18"/>
                <w:color w:val="auto"/>
                <w:w w:val="99"/>
              </w:rPr>
              <w:t>4.99 years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2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total intrinsic value of options exercised to purchase common stock during the years ended December 31, 2014, 2013 and 2012 was approximately $96,000, $44,000 and $0, respectively. As of December 31, 2014, total unrecognized share-based compensation cost related to unvested stock options was $1,777,000, which is expected to be recognized over a weighted average period of approximately 2.7 years. The total fair value of option awards recognized as expense during the years ended December 31, 2014, 2013 and 2012 was approximately $776,000, $0.8 million and $1.7 million, respectively. The weighted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F- 19</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1240"/>
        <w:spacing w:after="0" w:line="391" w:lineRule="auto"/>
        <w:rPr>
          <w:sz w:val="20"/>
          <w:szCs w:val="20"/>
          <w:color w:val="auto"/>
        </w:rPr>
      </w:pPr>
      <w:r>
        <w:rPr>
          <w:rFonts w:ascii="Arial" w:cs="Arial" w:eastAsia="Arial" w:hAnsi="Arial"/>
          <w:sz w:val="18"/>
          <w:szCs w:val="18"/>
          <w:color w:val="auto"/>
        </w:rPr>
        <w:t xml:space="preserve">average fair value of option awards granted during years ended December 31, 2014, 2013 and 2012 was $1.48, $1.20 and $1.97, respectively. </w:t>
      </w:r>
      <w:r>
        <w:rPr>
          <w:rFonts w:ascii="Arial" w:cs="Arial" w:eastAsia="Arial" w:hAnsi="Arial"/>
          <w:sz w:val="18"/>
          <w:szCs w:val="18"/>
          <w:i w:val="1"/>
          <w:iCs w:val="1"/>
          <w:color w:val="auto"/>
        </w:rPr>
        <w:t>Restricted Stock Units</w:t>
      </w:r>
    </w:p>
    <w:p>
      <w:pPr>
        <w:spacing w:after="0" w:line="1" w:lineRule="exact"/>
        <w:rPr>
          <w:sz w:val="20"/>
          <w:szCs w:val="20"/>
          <w:color w:val="auto"/>
        </w:rPr>
      </w:pPr>
    </w:p>
    <w:p>
      <w:pPr>
        <w:jc w:val="both"/>
        <w:ind w:right="120" w:firstLine="432"/>
        <w:spacing w:after="0" w:line="312" w:lineRule="auto"/>
        <w:rPr>
          <w:sz w:val="20"/>
          <w:szCs w:val="20"/>
          <w:color w:val="auto"/>
        </w:rPr>
      </w:pPr>
      <w:r>
        <w:rPr>
          <w:rFonts w:ascii="Arial" w:cs="Arial" w:eastAsia="Arial" w:hAnsi="Arial"/>
          <w:sz w:val="16"/>
          <w:szCs w:val="16"/>
          <w:color w:val="auto"/>
        </w:rPr>
        <w:t>The Company may issue restricted stock units (“RSUs”) that, upon satisfaction of vesting conditions, allow for employees and non-employee directors to receive common stock. Issuances of such awards reduce common stock available under the 2009 Plan for stock incentive awards. The Company measures compensation cost associated with grants of RSUs at fair value, which is generally the closing price of the Company’s stock on the date of grant.</w:t>
      </w:r>
    </w:p>
    <w:p>
      <w:pPr>
        <w:spacing w:after="0" w:line="12"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During 2014, the Compensation Committee of the Board of Directors, pursuant to the 2009 Plan, awarded employees a total of 2,658,956 RSUs at fair values ranging from $1.60 per share to $3.55 per share. Generally, one-third of the shares underlying each grant become issuable on the anniversary of each grant date, assuming continued employment with the Company through such date. Based on the fair value of the Company’s common stock price at the grant dates, the Company estimated the aggregate fair value of these awards at approximately $5.7 million. The estimated fair value of these awards is being amortized to compensation expense for each grant on a straight-line basis over the estimated service period.</w:t>
      </w:r>
    </w:p>
    <w:p>
      <w:pPr>
        <w:spacing w:after="0" w:line="3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During 2013, the Compensation Committee of the Board of Directors, pursuant to the 2009 Plan, awarded employees a total of 447,703 RSUs at fair values ranging from $1.74 per share to $4.17 per share. Generally, one-third of the shares underlying each grant become issuable on the anniversary of each grant date, assuming continued employment with the Company through such date. Based on the fair value of the Company’s common stock price at the grant dates, the Company estimated the aggregate fair value of these awards at approximately $0.9 million. The estimated fair value of these awards is being amortized to compensation expense for each grant on a straight-line basis over the estimated service period.</w:t>
      </w:r>
    </w:p>
    <w:p>
      <w:pPr>
        <w:spacing w:after="0" w:line="37"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During 2012, the Compensation Committee of the Board of Directors, pursuant to the 2009 Plan, awarded employees a total of 1,015,638 RSUs at fair values ranging from $1.28 per share to $3.58 per share. Generally, one-third of the shares underlying each grant become issuable on the anniversary of each grant date, assuming continued employment with the Company through such date. Based on the fair value of the Company’s common stock price at the grant dates, the Company estimated the aggregate fair value of these awards at approximately $3.4 million. The estimated fair value of these awards is being amortized to compensation expense for each grant on a straight-line basis over the estimated service period.</w:t>
      </w:r>
    </w:p>
    <w:p>
      <w:pPr>
        <w:spacing w:after="0" w:line="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restricted stock unit activity for the year ended December 31, 2014 is presented below (shares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4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Shares</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Non-vested at December 31, 2013</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1,108</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2,659</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(1,207)</w:t>
            </w: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Non-vested at December 31, 2014</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1,629</w:t>
            </w:r>
          </w:p>
        </w:tc>
      </w:tr>
      <w:tr>
        <w:trPr>
          <w:trHeight w:val="27"/>
        </w:trPr>
        <w:tc>
          <w:tcPr>
            <w:tcW w:w="99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As of December 31, 2014, there was $3.0 million of unrecognized compensation expense related to non-vested RSUs. That expense is expected to be recognized over a weighted average period of 2.7 years. The total fair value of RSUs recognized as expense during the years ended December 31, 2014, 2013 and 2012 was $2.9 million, $2.6 million and $3.4 million,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Employee Stock Purchase Plan</w:t>
      </w:r>
    </w:p>
    <w:p>
      <w:pPr>
        <w:spacing w:after="0" w:line="94" w:lineRule="exact"/>
        <w:rPr>
          <w:sz w:val="20"/>
          <w:szCs w:val="20"/>
          <w:color w:val="auto"/>
        </w:rPr>
      </w:pPr>
    </w:p>
    <w:p>
      <w:pPr>
        <w:jc w:val="both"/>
        <w:ind w:right="360" w:firstLine="432"/>
        <w:spacing w:after="0" w:line="264" w:lineRule="auto"/>
        <w:rPr>
          <w:sz w:val="20"/>
          <w:szCs w:val="20"/>
          <w:color w:val="auto"/>
        </w:rPr>
      </w:pPr>
      <w:r>
        <w:rPr>
          <w:rFonts w:ascii="Arial" w:cs="Arial" w:eastAsia="Arial" w:hAnsi="Arial"/>
          <w:sz w:val="18"/>
          <w:szCs w:val="18"/>
          <w:color w:val="auto"/>
        </w:rPr>
        <w:t>The Company’s 2000 Employee Stock Purchase Plan (the “ESPP”) permits eligible employees of the Company to purchase newly issued shares of common stock, at a price equal to 85% of the lower of the fair market value on (i) the first day of the offering period or (ii) the last day of each six-month purchase period, through payroll deductions of up to 10% of their annual cash compensation.</w:t>
      </w:r>
    </w:p>
    <w:p>
      <w:pPr>
        <w:spacing w:after="0" w:line="46"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On October 22, 2012, the Company announced the termination of the ESPP as of November 15, 2012 due to a lack of available shares. The cancellation of the awards was accounted for as a repurchase for no consideration. The previously unrecognized compensation cost as of November 15, 2012 of $1.0 million was fully expensed in the fourth quarter of 2012.</w:t>
      </w:r>
    </w:p>
    <w:p>
      <w:pPr>
        <w:spacing w:after="0" w:line="46"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reinstated the ESPP program effective as of August 16, 2014. The reinstated ESPP authorizes the Company to issue 1,500,132 shares of common for purchase by eligible employees.</w:t>
      </w:r>
    </w:p>
    <w:p>
      <w:pPr>
        <w:spacing w:after="0" w:line="3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During the years ended December 31, 2014, 2013 and 2012, the Company issued 114,791 shares, 0 shares and 1,086,837 shares, respectively, under the ESPP. During the years ended December 31, 2014, 2013 and 2012, the Company received $192,000, $0 and $1.6 million, respectively, in cash through employee withholdings.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F- 20</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The total fair value of ESPP awards recognized as expense during the years ended December 31, 2014, 2013 and 2012 was $101,000, $0 and $1.4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Securities Purchase Agreement</w:t>
      </w:r>
    </w:p>
    <w:p>
      <w:pPr>
        <w:spacing w:after="0" w:line="94" w:lineRule="exact"/>
        <w:rPr>
          <w:sz w:val="20"/>
          <w:szCs w:val="20"/>
          <w:color w:val="auto"/>
        </w:rPr>
      </w:pPr>
    </w:p>
    <w:p>
      <w:pPr>
        <w:ind w:right="320" w:firstLine="405"/>
        <w:spacing w:after="0" w:line="288" w:lineRule="auto"/>
        <w:rPr>
          <w:sz w:val="20"/>
          <w:szCs w:val="20"/>
          <w:color w:val="auto"/>
        </w:rPr>
      </w:pPr>
      <w:r>
        <w:rPr>
          <w:rFonts w:ascii="Arial" w:cs="Arial" w:eastAsia="Arial" w:hAnsi="Arial"/>
          <w:sz w:val="16"/>
          <w:szCs w:val="16"/>
          <w:color w:val="auto"/>
        </w:rPr>
        <w:t>On September 3, 2014, the Company entered into a Purchase Agreement (the “Purchase Agreement”) with HC2 Holdings 2, Inc., a Delaware corporation (the “Investor”), pursuant to which, on September 8, 2014, the Company sold to the Investor (i) 7,363,334 shares of the Company’s common stock, par value $0.001 per share, (ii) a warrant to purchase 4,117,647 shares of common stock at an exercise price of $2.26 per share (the “Warrant”) and</w:t>
      </w:r>
    </w:p>
    <w:p>
      <w:pPr>
        <w:ind w:right="40" w:firstLine="8"/>
        <w:spacing w:after="0" w:line="255"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87,196 shares of the Company’s Series C Convertible Preferred Stock, par value $0.001 per share (the “Series C Preferred Stock”), all at a purchase price of (a) $1.75 per share of common stock plus, in each case, the related Warrant and (b) $17.50 per share of Series C Preferred Stock, for aggregate gross proceeds of approximately $14.4 million (collectively, the “Financing”).</w:t>
      </w:r>
    </w:p>
    <w:p>
      <w:pPr>
        <w:spacing w:after="0" w:line="5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Certain terms of the Warrant and the Series C Preferred Stock were dependent upon the approval by the Company’s stockholders of (i) an increase in the total number of authorized shares of common stock to 100,000,000 shares and (ii) the issuance and sale of the securities pursuant to the Purchase Agreement (including the issuance of all shares of common stock issuable upon the full conversion of the Series C Preferred Stock issued pursuant to the Purchase Agreement and the full exercise of the Warrant) and any change of control that may be deemed to occur as a result of such issuance and sale pursuant to the applicable rules of The NASDAQ Stock Market LLC (together, the “Stockholder Approval”). This Stockholder Approval was obtained on November 17, 2014, at a Special Meeting of the Company's stockholders.</w:t>
      </w:r>
    </w:p>
    <w:p>
      <w:pPr>
        <w:spacing w:after="0" w:line="5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connection with the issuance of 7,363,334 shares of common stock to the Investor, the Company unreserved 1,651,455 shares of common stock previously approved for issuance pursuant to the Company’s 2009 Omnibus Incentive Compensation Plan and 1,300,000 shares of common stock previously approved for issuance pursuant to the Company’s 2000 ESPP. Accordingly, these shares were not available for grants under the respective plans until the Company’s Stockholders approved an increase in the total number of authorized shares of common stock.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w:t>
      </w:r>
    </w:p>
    <w:p>
      <w:pPr>
        <w:spacing w:after="0" w:line="90"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In connection with the above transaction the Company issued a Warrant to purchase 4,117,647 shares of common stock at an exercise price of $2.26 per share to the Investor. Pursuant to the terms of the Warrant, the Warrant will generally only be exercisable on a cash basis. However, the Warrant may be exercisable on a cashless basis if and only if a registration statement relating to the issuance of the shares underlying the Warrant is not then effective or an exemption from registration is not available. Subject to certain limitations, the Warrant will be exercisable into shares of common stock during the period commencing on March 8, 2015 and ending on September 8, 2019, the expiration date of the Warrant. The Warrant may be exercised by surrendering to the Company the warrant certificate evidencing the Warrant to be exercised with the accompanying exercise notice, appropriately completed, duly signed and delivered, together with cash payment of the exercise price, if applicable.</w:t>
      </w:r>
    </w:p>
    <w:p>
      <w:pPr>
        <w:spacing w:after="0" w:line="43"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exercise price and the number of shares of common stock issuable upon exercise of the Warrant are subject to adjustment upon certain corporate events, including certain combinations, recapitalizations, reorganizations, reclassifications, stock dividends and stock splits. In the event of an extraordinary transaction, as described in the Warrant and generally including any merger with or into another entity, sale of all or substantially all of the Company’s assets, tender offer or exchange offer, or reclassification of the common stock, each Warrant will automatically be converted into the right to receive, for each share of common stock that would have been issuable upon exercise of such Warrant immediately prior to such transaction, the same kind and amount of securities, cash or property as the holder would have been entitled to receive if the holder had been the holder of common stock immediately prior to the occurrence of such transaction. No fractional shares will be issued upon exercise of the Warrant. The Warrant does not confer upon its holder any voting or other rights as a stockholder of the Company.</w:t>
      </w:r>
    </w:p>
    <w:p>
      <w:pPr>
        <w:spacing w:after="0" w:line="44"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Due to insufficient authorized shares to satisfy the exercise of the instrument in full at the time of issuance, the Company determined that the instrument should be treated as a derivative instrument as of September 30, 2014. Liability classification was required because share settlement was not within the control of the Company and the Warrant was not considered to be “indexed to the company’s own stock” and therefore did not qualify for the exemptions provided by ASC 815.</w:t>
      </w:r>
    </w:p>
    <w:p>
      <w:pPr>
        <w:spacing w:after="0" w:line="52" w:lineRule="exact"/>
        <w:rPr>
          <w:sz w:val="20"/>
          <w:szCs w:val="20"/>
          <w:color w:val="auto"/>
        </w:rPr>
      </w:pPr>
    </w:p>
    <w:p>
      <w:pPr>
        <w:ind w:right="300" w:firstLine="405"/>
        <w:spacing w:after="0" w:line="286" w:lineRule="auto"/>
        <w:rPr>
          <w:sz w:val="20"/>
          <w:szCs w:val="20"/>
          <w:color w:val="auto"/>
        </w:rPr>
      </w:pPr>
      <w:r>
        <w:rPr>
          <w:rFonts w:ascii="Arial" w:cs="Arial" w:eastAsia="Arial" w:hAnsi="Arial"/>
          <w:sz w:val="17"/>
          <w:szCs w:val="17"/>
          <w:color w:val="auto"/>
        </w:rPr>
        <w:t>On November 17, 2014, at a Special Meeting of the Stockholders the Company received Stockholder Approval to increase the number of authorized shares of the Company's common stock from 50,000,000 shares to 100,000,000 shares, and accordingly, the Company marked to fair value the above described Warrant instrument and then reclassified that fair value of $8,219,000 to additional paid-in-capital.</w:t>
      </w:r>
    </w:p>
    <w:p>
      <w:pPr>
        <w:spacing w:after="0" w:line="3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Because the Warrant has no comparable market data to determine fair value, the Company hired an independent valuation firm to assist with the valuation of the Warrant. The primary factors used to determine the fair value include: (i) the fair value of the Company’s common stock; (ii) the volatility of the Company’s common stock; (iii) the risk free interest rate; (iv) the estimated likelihood and timing of exercise; and (v) the estimated likelihood and timing of a future financing arrangement.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F- 21</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Increases in the market value of the Company’s common stock and volatility, which have the most impact on the fair value of the Warrant, would cause the fair value of the Warrant to change. Because of the significant unobservable inputs used to calculate fair value the Company has classified the Warrant as a Level 3 measurement. The Warrant was measured at fair value on a recurring basis including a final remeasurement immediately preceding its reclassification to additional paid-in-capital on November 17, 2014. Unrealized gains and losses on items measured at fair value are recognized in earnings as other income/(expense). The Company incurred an expense of $3.3 million for the twelve months ended December 31, 2014 related to the Warrant as a result of an increase in the market value of the Company’s common stock.</w:t>
      </w:r>
    </w:p>
    <w:p>
      <w:pPr>
        <w:spacing w:after="0" w:line="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change to the fair value of the Warrant during the twelve months ended December 31, 2014 (in thousands):</w:t>
      </w:r>
    </w:p>
    <w:p>
      <w:pPr>
        <w:spacing w:after="0" w:line="171"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Warrant Derivative Liability</w:t>
      </w:r>
    </w:p>
    <w:p>
      <w:pPr>
        <w:spacing w:after="0" w:line="247" w:lineRule="exact"/>
        <w:rPr>
          <w:sz w:val="20"/>
          <w:szCs w:val="20"/>
          <w:color w:val="auto"/>
        </w:rPr>
      </w:pPr>
    </w:p>
    <w:tbl>
      <w:tblPr>
        <w:tblLayout w:type="fixed"/>
        <w:tblInd w:w="1900" w:type="dxa"/>
        <w:tblCellMar>
          <w:top w:w="0" w:type="dxa"/>
          <w:left w:w="0" w:type="dxa"/>
          <w:bottom w:w="0" w:type="dxa"/>
          <w:right w:w="0" w:type="dxa"/>
        </w:tblCellMar>
      </w:tblPr>
      <w:tr>
        <w:trPr>
          <w:trHeight w:val="257"/>
        </w:trPr>
        <w:tc>
          <w:tcPr>
            <w:tcW w:w="6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8, 2014 (Transaction Date)</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4,939</w:t>
            </w:r>
          </w:p>
        </w:tc>
      </w:tr>
      <w:tr>
        <w:trPr>
          <w:trHeight w:val="243"/>
        </w:trPr>
        <w:tc>
          <w:tcPr>
            <w:tcW w:w="6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Change in fair value</w:t>
            </w:r>
          </w:p>
        </w:tc>
        <w:tc>
          <w:tcPr>
            <w:tcW w:w="18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3,280</w:t>
            </w:r>
          </w:p>
        </w:tc>
      </w:tr>
      <w:tr>
        <w:trPr>
          <w:trHeight w:val="27"/>
        </w:trPr>
        <w:tc>
          <w:tcPr>
            <w:tcW w:w="6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November 17, 2014 (Shareholder Approval Date)</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8,219</w:t>
            </w:r>
          </w:p>
        </w:tc>
      </w:tr>
      <w:tr>
        <w:trPr>
          <w:trHeight w:val="243"/>
        </w:trPr>
        <w:tc>
          <w:tcPr>
            <w:tcW w:w="6820" w:type="dxa"/>
            <w:vAlign w:val="bottom"/>
            <w:gridSpan w:val="2"/>
          </w:tcPr>
          <w:p>
            <w:pPr>
              <w:ind w:left="20"/>
              <w:spacing w:after="0"/>
              <w:rPr>
                <w:sz w:val="20"/>
                <w:szCs w:val="20"/>
                <w:color w:val="auto"/>
              </w:rPr>
            </w:pPr>
            <w:r>
              <w:rPr>
                <w:rFonts w:ascii="Arial" w:cs="Arial" w:eastAsia="Arial" w:hAnsi="Arial"/>
                <w:sz w:val="18"/>
                <w:szCs w:val="18"/>
                <w:color w:val="auto"/>
              </w:rPr>
              <w:t>Reclassification to additional paid-in-capital</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(8,219)</w:t>
            </w:r>
          </w:p>
        </w:tc>
      </w:tr>
      <w:tr>
        <w:trPr>
          <w:trHeight w:val="41"/>
        </w:trPr>
        <w:tc>
          <w:tcPr>
            <w:tcW w:w="6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69"/>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Ending balance at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Contingently Redeemable Convertible Series C Preferred Stock</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In connection with the Financing the Company issued 87,196 shares of Series C Preferred Stock at $17.50 per share, initially convertible, subject to adjustments, into 871,960 shares of common stock.</w:t>
      </w:r>
    </w:p>
    <w:p>
      <w:pPr>
        <w:spacing w:after="0" w:line="3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On November 17, 2014, at a Special Meeting of the Stockholders, the Company received stockholder approval to increase the number of authorized shares of the Company's common stock from 50,000,000 shares to 100,000,000 shares and each share of Series C Preferred Stock then outstanding automatically converted into the number of shares of common stock by the conversion rate then in effect. Accordingly, each share of Series C Preferred Stock was converted into ten shares of common stock and upon conversion the Company reclassified the Series C Preferred Stock out of mezzanine equity into permanent equity and recognized a beneficial conversion feature ("BCF") of $445,000 in equity due to the resolution of the contingent BCF embedded within the Series C Preferred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Income (loss) before taxes for the years ended December 31, 2014, 2013 and 2012 is comprised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(39,513)</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(88,945)</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taxes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(39,105)</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The provision (benefit) for income taxes for the years ended December 31, 2014, 2013 and 2012 is comprised of the following (in thousands):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10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10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7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State</w:t>
            </w:r>
          </w:p>
        </w:tc>
        <w:tc>
          <w:tcPr>
            <w:tcW w:w="102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10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or income taxes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w:t>
            </w:r>
          </w:p>
        </w:tc>
        <w:tc>
          <w:tcPr>
            <w:tcW w:w="4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40"/>
              <w:spacing w:after="0"/>
              <w:rPr>
                <w:sz w:val="20"/>
                <w:szCs w:val="20"/>
                <w:color w:val="auto"/>
              </w:rPr>
            </w:pPr>
            <w:r>
              <w:rPr>
                <w:rFonts w:ascii="Arial" w:cs="Arial" w:eastAsia="Arial" w:hAnsi="Arial"/>
                <w:sz w:val="18"/>
                <w:szCs w:val="18"/>
                <w:color w:val="auto"/>
              </w:rPr>
              <w:t>The Company’s net deferred tax assets consist of the following (in thousands):</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7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6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11,292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Inventory obsolescence provision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rent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operating loss and tax credit carryforwards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76,346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55,010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4,518</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Unrecognized tax benefits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assets</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91,162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acquired intangibles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90,774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79,545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(90,774)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carryforwards. The Company records a valuation allowance to reduce any deferred tax assets by the amount of any tax benefits that, based on available evidence and judgment, are not expected to be realized.</w:t>
      </w:r>
    </w:p>
    <w:p>
      <w:pPr>
        <w:spacing w:after="0" w:line="36"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assesses whether a valuation allowance should be recorded against its deferred tax assets based on the consideration of all available evidence, using a “more likely than not” realization standard. The four sources of taxable income that must be considered in determining whether deferred tax assets will be realized are: (1) future reversals of existing taxable temporary differences (i.e., offset of gross deferred tax assets against gross deferred tax liabilities); (2) taxable income in prior carryback years, if carryback is permitted under the applicable tax law; (3) tax planning strategies; and (4) future taxable income exclusive of reversing temporary differences and carryforwards.</w:t>
      </w:r>
    </w:p>
    <w:p>
      <w:pPr>
        <w:spacing w:after="0" w:line="53"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After a review of the four sources of taxable income described above and after being in a three year cumulative loss position at the end of 2014, the Company recognized a full valuation allowance.</w:t>
      </w:r>
    </w:p>
    <w:p>
      <w:pPr>
        <w:spacing w:after="0" w:line="35"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During 2014 and 2013, the Company recognized valuation allowances of $11.3 million and $15.6 million, related to its U.S.-based and Canadian deferred tax assets created in those respective years. As a result, no net income tax benefits resulted in the Company’s statements for operations from the operating losses created during those years.</w:t>
      </w:r>
    </w:p>
    <w:p>
      <w:pPr>
        <w:spacing w:after="0" w:line="46"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At December 31, 2014, the deferred tax asset valuation allowance consisted of $86.0 million relating to the Company’s domestic deferred tax assets and $4.8 million related to the Company’s Canadian deferred tax assets. At December 31,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valuation allowance consisted of $74.7 million relating to the Company’s domestic deferred tax assets and $4.7 million related to the Company’s Canadian deferred tax assets.</w:t>
      </w:r>
    </w:p>
    <w:p>
      <w:pPr>
        <w:spacing w:after="0" w:line="3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provision (benefit) for income taxes reconciles to the amount computed by applying the statutory federal income tax rate of 34% in 2014, 2013 and 2012 to income (loss) before provision for income taxes as follows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benefit, at statutory rate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(30,142)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benefit, net of federal benefit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fair value of warrant</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Beneficial conversion feature</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 in state apportionment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611</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At December 31, 2014, the Company has U.S. federal net operating loss carryforwards of approximately $174.3 million. Federal net operating loss carryforwards expire at various dates from 2029 through 2034. The Company has California net operating loss carryforwards of approximately $67.1 million, which expire at various dates from 2017 through 2034. The Company has California research and development tax credit carryforwards of approximately $5.4 million. The California tax credits have no expiration date. The Company also has federal research and development tax credit carryforwards of approximately $4.3 million. The federal tax credits expire at various dates from 2027 through 2034.</w:t>
      </w:r>
    </w:p>
    <w:p>
      <w:pPr>
        <w:spacing w:after="0" w:line="3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Pursuant to Internal Revenue Code (IRC) Sections 382 and 383, annual use of the Company’s net operating loss and research and development credit carryforwards may be limited in the event a cumulative change in ownership of more than 50% occurs within a three-year period. The Company is in the process of completing an IRC Section 382/383 analysis and expects to have this analysis completed within the next three months. Due to the existence of the valuation allowance, future changes in the Company’s unrecognized tax benefits will not impact the Company’s effective tax rate.</w:t>
      </w:r>
    </w:p>
    <w:p>
      <w:pPr>
        <w:spacing w:after="0" w:line="19"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It is the Company’s intention to reinvest undistributed earnings of its foreign subsidiaries and thereby indefinitely postpone their remittance. Accordingly, no provision has been made for foreign withholding taxes on United States income taxes which may become payable if undistributed earnings of the foreign subsidiary were paid as dividends to the Company.</w:t>
      </w:r>
    </w:p>
    <w:p>
      <w:pPr>
        <w:spacing w:after="0" w:line="46" w:lineRule="exact"/>
        <w:rPr>
          <w:sz w:val="20"/>
          <w:szCs w:val="20"/>
          <w:color w:val="auto"/>
        </w:rPr>
      </w:pPr>
    </w:p>
    <w:p>
      <w:pPr>
        <w:ind w:right="60" w:firstLine="432"/>
        <w:spacing w:after="0" w:line="293" w:lineRule="auto"/>
        <w:rPr>
          <w:sz w:val="20"/>
          <w:szCs w:val="20"/>
          <w:color w:val="auto"/>
        </w:rPr>
      </w:pPr>
      <w:r>
        <w:rPr>
          <w:rFonts w:ascii="Arial" w:cs="Arial" w:eastAsia="Arial" w:hAnsi="Arial"/>
          <w:sz w:val="16"/>
          <w:szCs w:val="16"/>
          <w:color w:val="auto"/>
        </w:rPr>
        <w:t>The Company follows the accounting guidance related to financial statement recognition, measurement and disclosure of uncertain tax positions. The Company recognizes the impact of an uncertain income tax position on an income tax return at the largest amount that is more-likely-than-not to be sustained upon audit by the relevant taxing authority. An uncertain income tax position will not be recognized if it has less than a 50% likelihood of being sustained. During the years ended December 31, 2014 and 2013, the Company recognized approximately $61,000 and $71,000, respectively, of income tax benefit plus $0 and $236,000, respectively, of associated interest due to expiration of the applicable statutes of limitations applicable to certain tax years. As of December 31, 2014 and 2013, the total liability for unrecognized tax benefits was $0 and $61,000, respectively, and is included in other long-term liabilities.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amounts of unrecognized tax benefits is as follows (in thousands):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940" w:type="dxa"/>
            <w:vAlign w:val="bottom"/>
            <w:tcBorders>
              <w:bottom w:val="single" w:sz="8" w:color="CCEEFF"/>
            </w:tcBorders>
            <w:shd w:val="clear" w:color="auto" w:fill="CCEEFF"/>
          </w:tcPr>
          <w:p>
            <w:pPr>
              <w:jc w:val="center"/>
              <w:ind w:right="5650"/>
              <w:spacing w:after="0"/>
              <w:rPr>
                <w:sz w:val="20"/>
                <w:szCs w:val="20"/>
                <w:color w:val="auto"/>
              </w:rPr>
            </w:pPr>
            <w:r>
              <w:rPr>
                <w:rFonts w:ascii="Arial" w:cs="Arial" w:eastAsia="Arial" w:hAnsi="Arial"/>
                <w:sz w:val="18"/>
                <w:szCs w:val="18"/>
                <w:color w:val="auto"/>
                <w:w w:val="89"/>
              </w:rPr>
              <w:t>Unrecognized tax benefits balance at December 31, 2012</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33,220</w:t>
            </w:r>
          </w:p>
        </w:tc>
      </w:tr>
      <w:tr>
        <w:trPr>
          <w:trHeight w:val="243"/>
        </w:trPr>
        <w:tc>
          <w:tcPr>
            <w:tcW w:w="9940" w:type="dxa"/>
            <w:vAlign w:val="bottom"/>
          </w:tcPr>
          <w:p>
            <w:pPr>
              <w:ind w:left="380"/>
              <w:spacing w:after="0"/>
              <w:rPr>
                <w:sz w:val="20"/>
                <w:szCs w:val="20"/>
                <w:color w:val="auto"/>
              </w:rPr>
            </w:pPr>
            <w:r>
              <w:rPr>
                <w:rFonts w:ascii="Arial" w:cs="Arial" w:eastAsia="Arial" w:hAnsi="Arial"/>
                <w:sz w:val="18"/>
                <w:szCs w:val="18"/>
                <w:color w:val="auto"/>
              </w:rPr>
              <w:t>Increases related to current and prior year tax positions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2,653</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jc w:val="center"/>
              <w:ind w:right="5670"/>
              <w:spacing w:after="0"/>
              <w:rPr>
                <w:sz w:val="20"/>
                <w:szCs w:val="20"/>
                <w:color w:val="auto"/>
              </w:rPr>
            </w:pPr>
            <w:r>
              <w:rPr>
                <w:rFonts w:ascii="Arial" w:cs="Arial" w:eastAsia="Arial" w:hAnsi="Arial"/>
                <w:sz w:val="18"/>
                <w:szCs w:val="18"/>
                <w:color w:val="auto"/>
                <w:w w:val="90"/>
              </w:rPr>
              <w:t>Settlements and lapses in statutes of limitations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r>
      <w:tr>
        <w:trPr>
          <w:trHeight w:val="237"/>
        </w:trPr>
        <w:tc>
          <w:tcPr>
            <w:tcW w:w="9940" w:type="dxa"/>
            <w:vAlign w:val="bottom"/>
          </w:tcPr>
          <w:p>
            <w:pPr>
              <w:jc w:val="center"/>
              <w:ind w:right="5650"/>
              <w:spacing w:after="0"/>
              <w:rPr>
                <w:sz w:val="20"/>
                <w:szCs w:val="20"/>
                <w:color w:val="auto"/>
              </w:rPr>
            </w:pPr>
            <w:r>
              <w:rPr>
                <w:rFonts w:ascii="Arial" w:cs="Arial" w:eastAsia="Arial" w:hAnsi="Arial"/>
                <w:sz w:val="18"/>
                <w:szCs w:val="18"/>
                <w:color w:val="auto"/>
                <w:w w:val="89"/>
              </w:rPr>
              <w:t>Unrecognized tax benefits balance at December 31, 2013</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35,500</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related to current and prior year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w:t>
            </w:r>
          </w:p>
        </w:tc>
      </w:tr>
      <w:tr>
        <w:trPr>
          <w:trHeight w:val="243"/>
        </w:trPr>
        <w:tc>
          <w:tcPr>
            <w:tcW w:w="9940" w:type="dxa"/>
            <w:vAlign w:val="bottom"/>
          </w:tcPr>
          <w:p>
            <w:pPr>
              <w:jc w:val="center"/>
              <w:ind w:right="5670"/>
              <w:spacing w:after="0"/>
              <w:rPr>
                <w:sz w:val="20"/>
                <w:szCs w:val="20"/>
                <w:color w:val="auto"/>
              </w:rPr>
            </w:pPr>
            <w:r>
              <w:rPr>
                <w:rFonts w:ascii="Arial" w:cs="Arial" w:eastAsia="Arial" w:hAnsi="Arial"/>
                <w:sz w:val="18"/>
                <w:szCs w:val="18"/>
                <w:color w:val="auto"/>
                <w:w w:val="90"/>
              </w:rPr>
              <w:t>Settlements and lapses in statutes of limitations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jc w:val="center"/>
              <w:ind w:right="5650"/>
              <w:spacing w:after="0"/>
              <w:rPr>
                <w:sz w:val="20"/>
                <w:szCs w:val="20"/>
                <w:color w:val="auto"/>
              </w:rPr>
            </w:pPr>
            <w:r>
              <w:rPr>
                <w:rFonts w:ascii="Arial" w:cs="Arial" w:eastAsia="Arial" w:hAnsi="Arial"/>
                <w:sz w:val="18"/>
                <w:szCs w:val="18"/>
                <w:color w:val="auto"/>
                <w:w w:val="89"/>
              </w:rPr>
              <w:t>Unrecognized tax benefits balance at December 31,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35,643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720" w:firstLine="432"/>
        <w:spacing w:after="0" w:line="277" w:lineRule="auto"/>
        <w:rPr>
          <w:sz w:val="20"/>
          <w:szCs w:val="20"/>
          <w:color w:val="auto"/>
        </w:rPr>
      </w:pPr>
      <w:r>
        <w:rPr>
          <w:rFonts w:ascii="Arial" w:cs="Arial" w:eastAsia="Arial" w:hAnsi="Arial"/>
          <w:sz w:val="18"/>
          <w:szCs w:val="18"/>
          <w:color w:val="auto"/>
        </w:rPr>
        <w:t>There are no tax benefits that, if recognized, would affect the effective tax rate that are included in the balances of unrecognized tax benefits at December 31, 2014.</w:t>
      </w:r>
    </w:p>
    <w:p>
      <w:pPr>
        <w:spacing w:after="0" w:line="116"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color w:val="auto"/>
        </w:rPr>
        <w:t>The Company recognizes interest and penalties related to unrecognized tax benefits in the provision for income taxes. As of December 31, 2014, the same as in 2013, the Company recorded $0 of accrued interest related to uncertain tax positions.</w:t>
      </w:r>
    </w:p>
    <w:p>
      <w:pPr>
        <w:spacing w:after="0" w:line="116"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The Company and its subsidiaries file U.S., state, and foreign income tax returns in jurisdictions with various statutes of limitations. In the fourth quarter of 2014, the Company reduced its uncertain tax liability by approximately $61,000, due to the expiration of the statute of limitations applicable to the 2009 taxable year. The Company is also subject to various federal income tax examinations for the 2003 through 2013 calendar years due to the availability of net operating loss carryforwards. The Company believes appropriate provisions for all outstanding issues have been made for all jurisdictions and all open years. However, because audit outcomes and the timing of audit settlements are subject to significant uncertainty, the Company’s current estimate of the total amounts of unrecognized tax benefits could increase or decrease for all open years.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Company leases its office space and certain equipment under non-cancellable operating leases with various terms through 2017. The minimum annual rent on the Company’s office space is subject to increases based on stated rental adjustment terms, property taxes and operating costs and contains rent concessions. For financial reporting purposes, rent expense is recognized on a straight-line basis over the term of the lease. Accordingly, rent expense recognized in excess of rent paid is reflected as deferred rent. Rental expense under operating leases in 2014, 2013 and 2012 was $3.0 million, $4.1 million and $4.5 million, respectively. The Company’s office space lease contains incentives in the form of reimbursement from the landlord for a portion of the costs of leasehold improvements incurred by the Company which are recorded to rent expense on a straight-line basis over the term of the lease.</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minimum future lease payments under non-cancellable operating leases as of December 31, 2014 are as follows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the Period Ending December 31,</w:t>
            </w:r>
          </w:p>
        </w:tc>
        <w:tc>
          <w:tcPr>
            <w:tcW w:w="5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Amount</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4"/>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800" w:type="dxa"/>
            <w:vAlign w:val="bottom"/>
            <w:tcBorders>
              <w:bottom w:val="single" w:sz="8" w:color="CCEEFF"/>
            </w:tcBorders>
            <w:shd w:val="clear" w:color="auto" w:fill="CCEEFF"/>
          </w:tcPr>
          <w:p>
            <w:pPr>
              <w:spacing w:after="0"/>
              <w:rPr>
                <w:sz w:val="21"/>
                <w:szCs w:val="21"/>
                <w:color w:val="auto"/>
              </w:rPr>
            </w:pPr>
          </w:p>
        </w:tc>
        <w:tc>
          <w:tcPr>
            <w:tcW w:w="61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2,744</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2016</w:t>
            </w:r>
          </w:p>
        </w:tc>
        <w:tc>
          <w:tcPr>
            <w:tcW w:w="180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2,749</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w:t>
            </w:r>
          </w:p>
        </w:tc>
      </w:tr>
      <w:tr>
        <w:trPr>
          <w:trHeight w:val="243"/>
        </w:trPr>
        <w:tc>
          <w:tcPr>
            <w:tcW w:w="2280" w:type="dxa"/>
            <w:vAlign w:val="bottom"/>
            <w:gridSpan w:val="2"/>
          </w:tcPr>
          <w:p>
            <w:pPr>
              <w:ind w:left="40"/>
              <w:spacing w:after="0"/>
              <w:rPr>
                <w:sz w:val="20"/>
                <w:szCs w:val="20"/>
                <w:color w:val="auto"/>
              </w:rPr>
            </w:pPr>
            <w:r>
              <w:rPr>
                <w:rFonts w:ascii="Arial" w:cs="Arial" w:eastAsia="Arial" w:hAnsi="Arial"/>
                <w:sz w:val="18"/>
                <w:szCs w:val="18"/>
                <w:color w:val="auto"/>
              </w:rPr>
              <w:t>2018</w:t>
            </w:r>
          </w:p>
        </w:tc>
        <w:tc>
          <w:tcPr>
            <w:tcW w:w="1800" w:type="dxa"/>
            <w:vAlign w:val="bottom"/>
          </w:tcPr>
          <w:p>
            <w:pPr>
              <w:spacing w:after="0"/>
              <w:rPr>
                <w:sz w:val="21"/>
                <w:szCs w:val="21"/>
                <w:color w:val="auto"/>
              </w:rPr>
            </w:pPr>
          </w:p>
        </w:tc>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436</w:t>
            </w:r>
          </w:p>
        </w:tc>
      </w:tr>
      <w:tr>
        <w:trPr>
          <w:trHeight w:val="27"/>
        </w:trPr>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0" w:type="dxa"/>
            <w:vAlign w:val="bottom"/>
            <w:tcBorders>
              <w:bottom w:val="single" w:sz="8" w:color="CCEEFF"/>
            </w:tcBorders>
            <w:shd w:val="clear" w:color="auto" w:fill="CCEEFF"/>
          </w:tcPr>
          <w:p>
            <w:pPr>
              <w:spacing w:after="0"/>
              <w:rPr>
                <w:sz w:val="21"/>
                <w:szCs w:val="21"/>
                <w:color w:val="auto"/>
              </w:rPr>
            </w:pPr>
          </w:p>
        </w:tc>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Thereafter</w:t>
            </w:r>
          </w:p>
        </w:tc>
        <w:tc>
          <w:tcPr>
            <w:tcW w:w="5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221</w:t>
            </w:r>
          </w:p>
        </w:tc>
      </w:tr>
      <w:tr>
        <w:trPr>
          <w:trHeight w:val="27"/>
        </w:trPr>
        <w:tc>
          <w:tcPr>
            <w:tcW w:w="4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minimum lease payments</w:t>
            </w:r>
          </w:p>
        </w:tc>
        <w:tc>
          <w:tcPr>
            <w:tcW w:w="58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160" w:type="dxa"/>
            <w:vAlign w:val="bottom"/>
            <w:gridSpan w:val="2"/>
          </w:tcPr>
          <w:p>
            <w:pPr>
              <w:jc w:val="right"/>
              <w:ind w:right="4250"/>
              <w:spacing w:after="0"/>
              <w:rPr>
                <w:sz w:val="20"/>
                <w:szCs w:val="20"/>
                <w:color w:val="auto"/>
              </w:rPr>
            </w:pPr>
            <w:r>
              <w:rPr>
                <w:rFonts w:ascii="Arial" w:cs="Arial" w:eastAsia="Arial" w:hAnsi="Arial"/>
                <w:sz w:val="18"/>
                <w:szCs w:val="18"/>
                <w:color w:val="auto"/>
              </w:rPr>
              <w:t>F- 25</w:t>
            </w: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Committed Purchase Orders</w:t>
      </w:r>
    </w:p>
    <w:p>
      <w:pPr>
        <w:spacing w:after="0" w:line="90"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The Company has entered into purchase commitments totaling approximately $55.0 million with certain contract manufacturers under which the Company has committed to buy a minimum amount of designated products between January 2015 and December 2015. In certain of these agreements, the Company may be required to acquire and pay for such products up to the prescribed minimum or forecasted purchases.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Matters</w:t>
      </w:r>
    </w:p>
    <w:p>
      <w:pPr>
        <w:spacing w:after="0" w:line="90"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 connection with the Company’s turnaround efforts, and to retain and encourage employees to assist the Company with its efforts, the Company's Compensation Committee approved an all-employee retention bonus plan ("2014 Retention Bonus Plan") based on achieving certain financial and cash targets. The financial metrics must be met for two consecutive quarter periods during the three quarter periods ending March 31, 2015. At December 31, 2014, the Company accrued approximately $5.5 million of the maximum total target bonus expense based on the Company's financial results for the quarter ended December 31, 2014 and the assessment of the probability of the achievement of the remaining metrics in March 31, 2015. The bonus is being recognized over the requisite service period and the total estimated expense under the 2014 Retention Bonus Plan is $11.0 million in the event the remaining metrics are achieved on March 31,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Company is, from time to time, party to various legal proceedings arising in the ordinary course of business. For example, the Company is currently named as a defendant or co-defendant in some patent infringement lawsuits in the U.S. and is indirectly participating in other U.S. patent infringement actions pursuant to its contractual indemnification obligations to certain customers. Based on an evaluation of these matters and discussions with the Company’s intellectual property litigation counsel, the Company believes that liabilities arising from or sums paid in settlement of these existing matters would not have a material adverse effect on its consolidated results of operations or financial condition.</w:t>
      </w:r>
    </w:p>
    <w:p>
      <w:pPr>
        <w:spacing w:after="0" w:line="3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 xml:space="preserve">On September 15, 2008 and September 18, 2008, two putative securities class action lawsuits were filed in the U.S. District Court for the Southern District of California (the “Court”) on behalf of alleged stockholders of the Company. On December 11, 2008, these lawsuits were consolidated into a single action and in May 2010, the consolidated lawsuits were captioned the case </w:t>
      </w:r>
      <w:r>
        <w:rPr>
          <w:rFonts w:ascii="Arial" w:cs="Arial" w:eastAsia="Arial" w:hAnsi="Arial"/>
          <w:sz w:val="16"/>
          <w:szCs w:val="16"/>
          <w:i w:val="1"/>
          <w:iCs w:val="1"/>
          <w:color w:val="auto"/>
        </w:rPr>
        <w:t>In re Novatel Wireless Securities Litigation</w:t>
      </w:r>
      <w:r>
        <w:rPr>
          <w:rFonts w:ascii="Arial" w:cs="Arial" w:eastAsia="Arial" w:hAnsi="Arial"/>
          <w:sz w:val="16"/>
          <w:szCs w:val="16"/>
          <w:color w:val="auto"/>
        </w:rPr>
        <w:t xml:space="preserve"> (the “Litigation”). The Litigation was filed on behalf of persons who purchased the Company’s common stock between February 27, 2007 and September 15, 2008.</w:t>
      </w:r>
    </w:p>
    <w:p>
      <w:pPr>
        <w:spacing w:after="0" w:line="19"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June 23, 2014, the Court entered its judgment approving a final settlement agreement with respect to the Litigation. The settlement agreement does not admit any liability, and the Company and the individual defendants continue to deny any and all liability. Under the terms of the settlement agreement, the plaintiff class agreed to settle all claims asserted in the Litigation and granted the defendants and released parties a full and complete release in exchange for</w:t>
      </w:r>
    </w:p>
    <w:p>
      <w:pPr>
        <w:ind w:right="140" w:firstLine="8"/>
        <w:spacing w:after="0" w:line="254" w:lineRule="auto"/>
        <w:tabs>
          <w:tab w:leader="none" w:pos="2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cash payment of $6.0 million to the plaintiff’s class, approximately $1.7 million of which was to be funded by the Company’s insurers, (ii) the issuance of unrestricted and freely tradable shares of the Company’s stock with an aggregate value of $5.0 million and (iii) the issuance of a $5.0 million secured promissory note, which such note shall having a 30-month maturity, carrying interest at 5% per annum, payable quarterly, and being secured by the accounts receivable of the Company.</w:t>
      </w:r>
    </w:p>
    <w:p>
      <w:pPr>
        <w:spacing w:after="0" w:line="55"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On July 1, 2014, the Company and the individual defendants filed a motion to amend the judgment entered on June 23, 2014, specifically requesting the Court to amend the effective date of such judgment to June 20, 2014 - the date the court held the final approval hearing. The Court granted this motion on July 8, 2014, and the judgment date was deemed entered on June 20, 2014.</w:t>
      </w:r>
    </w:p>
    <w:p>
      <w:pPr>
        <w:spacing w:after="0" w:line="60" w:lineRule="exact"/>
        <w:rPr>
          <w:sz w:val="20"/>
          <w:szCs w:val="20"/>
          <w:color w:val="auto"/>
        </w:rPr>
      </w:pPr>
    </w:p>
    <w:p>
      <w:pPr>
        <w:ind w:right="320" w:firstLine="405"/>
        <w:spacing w:after="0" w:line="271" w:lineRule="auto"/>
        <w:rPr>
          <w:sz w:val="20"/>
          <w:szCs w:val="20"/>
          <w:color w:val="auto"/>
        </w:rPr>
      </w:pPr>
      <w:r>
        <w:rPr>
          <w:rFonts w:ascii="Arial" w:cs="Arial" w:eastAsia="Arial" w:hAnsi="Arial"/>
          <w:sz w:val="18"/>
          <w:szCs w:val="18"/>
          <w:color w:val="auto"/>
        </w:rPr>
        <w:t xml:space="preserve">On July 8, 2014, the Company funded the cash portion of the settlement with $4.3 million of Company cash and $1.7 million previously funded into escrow by the Company’s insurers. On July 17, 2014, the Company issued 2,407,318 unrestricted shares of the Company’s common stock to the class members in satisfaction of the $5.0 million stock payment. The Company also issued a $5.0 million secured promissory note on July 8, 2014, </w:t>
      </w:r>
      <w:r>
        <w:rPr>
          <w:rFonts w:ascii="Arial" w:cs="Arial" w:eastAsia="Arial" w:hAnsi="Arial"/>
          <w:sz w:val="19"/>
          <w:szCs w:val="19"/>
          <w:color w:val="auto"/>
        </w:rPr>
        <w:t>which was</w:t>
      </w:r>
      <w:r>
        <w:rPr>
          <w:rFonts w:ascii="Arial" w:cs="Arial" w:eastAsia="Arial" w:hAnsi="Arial"/>
          <w:sz w:val="18"/>
          <w:szCs w:val="18"/>
          <w:color w:val="auto"/>
        </w:rPr>
        <w:t xml:space="preserve"> </w:t>
      </w:r>
      <w:r>
        <w:rPr>
          <w:rFonts w:ascii="Arial" w:cs="Arial" w:eastAsia="Arial" w:hAnsi="Arial"/>
          <w:sz w:val="19"/>
          <w:szCs w:val="19"/>
          <w:color w:val="auto"/>
        </w:rPr>
        <w:t>paid off by the Company during the fourth quarter of 2014.</w:t>
      </w:r>
    </w:p>
    <w:p>
      <w:pPr>
        <w:spacing w:after="0" w:line="38"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On November 17, 2014, the Court granted Plaintiff’s motion to enforce the Settlement and the Court agreed with the Plaintiffs to use an intra-day trading price of the Company's stock for valuation purposes and not the closing price, and accordingly, the Company owed $789,600 which was paid by the Company on December 16, 2014.</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2014, there were no further liabilities accrued in connection with the Litigation.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On October 31, 2014, the Company and one of its subsidiaries entered into the Revolver with Wells Fargo Bank, National Association. The amount of borrowings that may be made under the Revolver are based on a borrowing base and are comprised of a specified percentage of eligible receivables. If, at any time during the term of the Revolver, the amount of borrowings outstanding under the Revolver exceeds the borrowing base then in effect or the maximum revolver amount of</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F- 26</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$25.0 million, the Company is required to repay such borrowings in an amount sufficient to eliminate such excess. the Revolver includes $3.0 million of availability for letters of credit. At December 31, 2014, the balance of the revolving credit facility was approximately $5.2 million and the Company had available borrowings of approximately $12.1 million. At December 31, 2014, the Company was in compliance with all financial covenants contained in the credit agreement. (see Note 6)</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terms of the Revolver, we are prohibited from declaring or paying any cash dividends on our common stock.</w:t>
      </w:r>
    </w:p>
    <w:p>
      <w:pPr>
        <w:spacing w:after="0" w:line="9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November 19, 2014, the Company terminated its existing margin credit facility with one of the banks that held the Company's marketable securities. Borrowings under this facility were collateralized by the Company's cash and cash equivalents and marketable securities on deposit at the bank. During the twelve months ended December 31, 2014, the Company did not borrow against the facility and had no outstanding borrowings under this facility at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 and Concentrations of Risk</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Segment Information</w:t>
      </w:r>
    </w:p>
    <w:p>
      <w:pPr>
        <w:spacing w:after="0" w:line="90"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The Company operates in the wireless broadband technology industry and senior management makes decisions about allocating resources based on the following reportable segments:</w:t>
      </w:r>
    </w:p>
    <w:p>
      <w:pPr>
        <w:spacing w:after="0" w:line="35" w:lineRule="exact"/>
        <w:rPr>
          <w:sz w:val="20"/>
          <w:szCs w:val="20"/>
          <w:color w:val="auto"/>
        </w:rPr>
      </w:pPr>
    </w:p>
    <w:p>
      <w:pPr>
        <w:ind w:right="360" w:firstLine="486"/>
        <w:spacing w:after="0" w:line="334" w:lineRule="auto"/>
        <w:rPr>
          <w:sz w:val="20"/>
          <w:szCs w:val="20"/>
          <w:color w:val="auto"/>
        </w:rPr>
      </w:pPr>
      <w:r>
        <w:rPr>
          <w:rFonts w:ascii="Arial" w:cs="Arial" w:eastAsia="Arial" w:hAnsi="Arial"/>
          <w:sz w:val="16"/>
          <w:szCs w:val="16"/>
          <w:color w:val="auto"/>
        </w:rPr>
        <w:t>The Mobile Computing Products segment includes the Company's MiFi brand of Intelligent Mobile Hotspot devices, USB modems and embedded modules that enable data transmission and services via cellular wireless networks. All products within the segment represent a single product family.</w:t>
      </w:r>
    </w:p>
    <w:p>
      <w:pPr>
        <w:spacing w:after="0" w:line="1" w:lineRule="exact"/>
        <w:rPr>
          <w:sz w:val="20"/>
          <w:szCs w:val="20"/>
          <w:color w:val="auto"/>
        </w:rPr>
      </w:pPr>
    </w:p>
    <w:p>
      <w:pPr>
        <w:ind w:right="40" w:firstLine="405"/>
        <w:spacing w:after="0" w:line="256" w:lineRule="auto"/>
        <w:rPr>
          <w:sz w:val="20"/>
          <w:szCs w:val="20"/>
          <w:color w:val="auto"/>
        </w:rPr>
      </w:pPr>
      <w:r>
        <w:rPr>
          <w:rFonts w:ascii="Arial" w:cs="Arial" w:eastAsia="Arial" w:hAnsi="Arial"/>
          <w:sz w:val="18"/>
          <w:szCs w:val="18"/>
          <w:color w:val="auto"/>
        </w:rPr>
        <w:t>The M2M Products and Solutions segment includes the Company's M2M embedded modules, integrated M2M communications devices and our service delivery platform, the N4A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DM and N4A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CMS that provides easy device management and service enablement.</w:t>
      </w:r>
    </w:p>
    <w:p>
      <w:pPr>
        <w:spacing w:after="0" w:line="2" w:lineRule="exact"/>
        <w:rPr>
          <w:sz w:val="20"/>
          <w:szCs w:val="20"/>
          <w:color w:val="auto"/>
        </w:rPr>
      </w:pPr>
    </w:p>
    <w:p>
      <w:pPr>
        <w:ind w:right="60" w:firstLine="432"/>
        <w:spacing w:after="0" w:line="295" w:lineRule="auto"/>
        <w:rPr>
          <w:sz w:val="20"/>
          <w:szCs w:val="20"/>
          <w:color w:val="auto"/>
        </w:rPr>
      </w:pPr>
      <w:r>
        <w:rPr>
          <w:rFonts w:ascii="Arial" w:cs="Arial" w:eastAsia="Arial" w:hAnsi="Arial"/>
          <w:sz w:val="16"/>
          <w:szCs w:val="16"/>
          <w:color w:val="auto"/>
        </w:rPr>
        <w:t>Segment net revenues and segment operating losses represent the primary financial measures used by senior management to assess performance and include the net revenues, cost of net revenues, sales and other operating expenses for which management is held accountable. Segment operating expenses include sales and marketing, research and development, general and administrative and amortization expenses that are directly related to individual segments. Segment losses also include acquisition-related costs, purchase price amortization, impairment charges, restructuring and integration costs.</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presents net revenues from external customers, operating loss and identifiable assets for our reportable segments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189"/>
        </w:trPr>
        <w:tc>
          <w:tcPr>
            <w:tcW w:w="674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Net revenues by reportable segment:</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162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5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r>
      <w:tr>
        <w:trPr>
          <w:trHeight w:val="243"/>
        </w:trPr>
        <w:tc>
          <w:tcPr>
            <w:tcW w:w="6740" w:type="dxa"/>
            <w:vAlign w:val="bottom"/>
            <w:gridSpan w:val="5"/>
          </w:tcPr>
          <w:p>
            <w:pPr>
              <w:ind w:left="40"/>
              <w:spacing w:after="0"/>
              <w:rPr>
                <w:sz w:val="20"/>
                <w:szCs w:val="20"/>
                <w:color w:val="auto"/>
              </w:rPr>
            </w:pPr>
            <w:r>
              <w:rPr>
                <w:rFonts w:ascii="Arial" w:cs="Arial" w:eastAsia="Arial" w:hAnsi="Arial"/>
                <w:sz w:val="18"/>
                <w:szCs w:val="18"/>
                <w:color w:val="auto"/>
              </w:rPr>
              <w:t>Mobile Computing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145,500</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297,499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312,508</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M2M Products and Solutions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39,745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31,780</w:t>
            </w:r>
          </w:p>
        </w:tc>
      </w:tr>
      <w:tr>
        <w:trPr>
          <w:trHeight w:val="237"/>
        </w:trPr>
        <w:tc>
          <w:tcPr>
            <w:tcW w:w="6740" w:type="dxa"/>
            <w:vAlign w:val="bottom"/>
            <w:gridSpan w:val="5"/>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185,245</w:t>
            </w:r>
          </w:p>
        </w:tc>
        <w:tc>
          <w:tcPr>
            <w:tcW w:w="10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335,053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344,288</w:t>
            </w:r>
          </w:p>
        </w:tc>
      </w:tr>
      <w:tr>
        <w:trPr>
          <w:trHeight w:val="67"/>
        </w:trPr>
        <w:tc>
          <w:tcPr>
            <w:tcW w:w="4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400" w:type="dxa"/>
            <w:vAlign w:val="bottom"/>
            <w:tcBorders>
              <w:bottom w:val="single" w:sz="8" w:color="CCEEFF"/>
            </w:tcBorders>
          </w:tcPr>
          <w:p>
            <w:pPr>
              <w:spacing w:after="0"/>
              <w:rPr>
                <w:sz w:val="5"/>
                <w:szCs w:val="5"/>
                <w:color w:val="auto"/>
              </w:rPr>
            </w:pPr>
          </w:p>
        </w:tc>
        <w:tc>
          <w:tcPr>
            <w:tcW w:w="35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56"/>
        </w:trPr>
        <w:tc>
          <w:tcPr>
            <w:tcW w:w="6740" w:type="dxa"/>
            <w:vAlign w:val="bottom"/>
            <w:gridSpan w:val="5"/>
            <w:shd w:val="clear" w:color="auto" w:fill="CCEEFF"/>
          </w:tcPr>
          <w:p>
            <w:pPr>
              <w:ind w:left="40"/>
              <w:spacing w:after="0" w:line="156" w:lineRule="exact"/>
              <w:rPr>
                <w:sz w:val="20"/>
                <w:szCs w:val="20"/>
                <w:color w:val="auto"/>
              </w:rPr>
            </w:pPr>
            <w:r>
              <w:rPr>
                <w:rFonts w:ascii="Arial" w:cs="Arial" w:eastAsia="Arial" w:hAnsi="Arial"/>
                <w:sz w:val="18"/>
                <w:szCs w:val="18"/>
                <w:b w:val="1"/>
                <w:bCs w:val="1"/>
                <w:color w:val="auto"/>
              </w:rPr>
              <w:t>Operating loss:</w:t>
            </w:r>
          </w:p>
        </w:tc>
        <w:tc>
          <w:tcPr>
            <w:tcW w:w="3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auto"/>
            </w:tcBorders>
            <w:shd w:val="clear" w:color="auto" w:fill="CCEEFF"/>
          </w:tcPr>
          <w:p>
            <w:pPr>
              <w:spacing w:after="0"/>
              <w:rPr>
                <w:sz w:val="6"/>
                <w:szCs w:val="6"/>
                <w:color w:val="auto"/>
              </w:rPr>
            </w:pPr>
          </w:p>
        </w:tc>
        <w:tc>
          <w:tcPr>
            <w:tcW w:w="16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35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1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120" w:type="dxa"/>
            <w:vAlign w:val="bottom"/>
            <w:tcBorders>
              <w:top w:val="single" w:sz="8" w:color="CCEEFF"/>
            </w:tcBorders>
            <w:shd w:val="clear" w:color="auto" w:fill="CCEEFF"/>
          </w:tcPr>
          <w:p>
            <w:pPr>
              <w:spacing w:after="0"/>
              <w:rPr>
                <w:sz w:val="6"/>
                <w:szCs w:val="6"/>
                <w:color w:val="auto"/>
              </w:rPr>
            </w:pPr>
          </w:p>
        </w:tc>
      </w:tr>
      <w:tr>
        <w:trPr>
          <w:trHeight w:val="243"/>
        </w:trPr>
        <w:tc>
          <w:tcPr>
            <w:tcW w:w="6740" w:type="dxa"/>
            <w:vAlign w:val="bottom"/>
            <w:gridSpan w:val="5"/>
          </w:tcPr>
          <w:p>
            <w:pPr>
              <w:ind w:left="40"/>
              <w:spacing w:after="0"/>
              <w:rPr>
                <w:sz w:val="20"/>
                <w:szCs w:val="20"/>
                <w:color w:val="auto"/>
              </w:rPr>
            </w:pPr>
            <w:r>
              <w:rPr>
                <w:rFonts w:ascii="Arial" w:cs="Arial" w:eastAsia="Arial" w:hAnsi="Arial"/>
                <w:sz w:val="18"/>
                <w:szCs w:val="18"/>
                <w:color w:val="auto"/>
              </w:rPr>
              <w:t>Mobile Computing 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(23,339)</w:t>
            </w:r>
          </w:p>
        </w:tc>
        <w:tc>
          <w:tcPr>
            <w:tcW w:w="4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(27,939)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(22,924)</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M2M Products and Solutions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(65,819)</w:t>
            </w:r>
          </w:p>
        </w:tc>
      </w:tr>
      <w:tr>
        <w:trPr>
          <w:trHeight w:val="237"/>
        </w:trPr>
        <w:tc>
          <w:tcPr>
            <w:tcW w:w="6740" w:type="dxa"/>
            <w:vAlign w:val="bottom"/>
            <w:gridSpan w:val="5"/>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(35,573)</w:t>
            </w:r>
          </w:p>
        </w:tc>
        <w:tc>
          <w:tcPr>
            <w:tcW w:w="100" w:type="dxa"/>
            <w:vAlign w:val="bottom"/>
            <w:gridSpan w:val="2"/>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(88,743)</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01"/>
        </w:trPr>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4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162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35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r>
      <w:tr>
        <w:trPr>
          <w:trHeight w:val="189"/>
        </w:trPr>
        <w:tc>
          <w:tcPr>
            <w:tcW w:w="6740" w:type="dxa"/>
            <w:vAlign w:val="bottom"/>
            <w:gridSpan w:val="5"/>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Identifiable assets by reportable segment:</w:t>
            </w:r>
          </w:p>
        </w:tc>
        <w:tc>
          <w:tcPr>
            <w:tcW w:w="3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auto"/>
            </w:tcBorders>
            <w:shd w:val="clear" w:color="auto" w:fill="CCEEFF"/>
          </w:tcPr>
          <w:p>
            <w:pPr>
              <w:spacing w:after="0"/>
              <w:rPr>
                <w:sz w:val="5"/>
                <w:szCs w:val="5"/>
                <w:color w:val="auto"/>
              </w:rPr>
            </w:pPr>
          </w:p>
        </w:tc>
        <w:tc>
          <w:tcPr>
            <w:tcW w:w="162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350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r>
      <w:tr>
        <w:trPr>
          <w:trHeight w:val="243"/>
        </w:trPr>
        <w:tc>
          <w:tcPr>
            <w:tcW w:w="6740" w:type="dxa"/>
            <w:vAlign w:val="bottom"/>
            <w:gridSpan w:val="5"/>
          </w:tcPr>
          <w:p>
            <w:pPr>
              <w:ind w:left="40"/>
              <w:spacing w:after="0"/>
              <w:rPr>
                <w:sz w:val="20"/>
                <w:szCs w:val="20"/>
                <w:color w:val="auto"/>
              </w:rPr>
            </w:pPr>
            <w:r>
              <w:rPr>
                <w:rFonts w:ascii="Arial" w:cs="Arial" w:eastAsia="Arial" w:hAnsi="Arial"/>
                <w:sz w:val="18"/>
                <w:szCs w:val="18"/>
                <w:color w:val="auto"/>
              </w:rPr>
              <w:t>Mobile Computing Products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79,368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96,516</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M2M Products and Solutions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14,949</w:t>
            </w:r>
          </w:p>
        </w:tc>
      </w:tr>
      <w:tr>
        <w:trPr>
          <w:trHeight w:val="237"/>
        </w:trPr>
        <w:tc>
          <w:tcPr>
            <w:tcW w:w="6740" w:type="dxa"/>
            <w:vAlign w:val="bottom"/>
            <w:gridSpan w:val="5"/>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95,020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111,465</w:t>
            </w: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operations in the United States, Canada, Europe, Latin America and Asia. The following table details the geographic concentration of the Company’s assets in the United States, Canada, Europe, Latin America and Asia (in thousands):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F- 27</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91,843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108,932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Canada</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Latin America and Asia</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1,725</w:t>
            </w:r>
          </w:p>
        </w:tc>
      </w:tr>
      <w:tr>
        <w:trPr>
          <w:trHeight w:val="237"/>
        </w:trPr>
        <w:tc>
          <w:tcPr>
            <w:tcW w:w="8340" w:type="dxa"/>
            <w:vAlign w:val="bottom"/>
          </w:tcPr>
          <w:p>
            <w:pPr>
              <w:spacing w:after="0"/>
              <w:rPr>
                <w:sz w:val="20"/>
                <w:szCs w:val="20"/>
                <w:color w:val="auto"/>
              </w:rPr>
            </w:pPr>
          </w:p>
        </w:tc>
        <w:tc>
          <w:tcPr>
            <w:tcW w:w="90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95,020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111,465</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details the Company’s concentration of net revenues by geographic region based on shipping destination: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1540" w:type="dxa"/>
            <w:vAlign w:val="bottom"/>
            <w:tcBorders>
              <w:bottom w:val="single" w:sz="8" w:color="auto"/>
            </w:tcBorders>
          </w:tcPr>
          <w:p>
            <w:pPr>
              <w:spacing w:after="0"/>
              <w:rPr>
                <w:sz w:val="16"/>
                <w:szCs w:val="16"/>
                <w:color w:val="auto"/>
              </w:rPr>
            </w:pPr>
          </w:p>
        </w:tc>
      </w:tr>
      <w:tr>
        <w:trPr>
          <w:trHeight w:val="264"/>
        </w:trPr>
        <w:tc>
          <w:tcPr>
            <w:tcW w:w="658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2012</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and Canada</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1.0</w:t>
            </w:r>
          </w:p>
        </w:tc>
        <w:tc>
          <w:tcPr>
            <w:tcW w:w="1660" w:type="dxa"/>
            <w:vAlign w:val="bottom"/>
            <w:gridSpan w:val="2"/>
          </w:tcPr>
          <w:p>
            <w:pPr>
              <w:jc w:val="right"/>
              <w:ind w:right="128"/>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2.4</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Middle East, Africa and other</w:t>
            </w: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6.6</w:t>
            </w:r>
          </w:p>
        </w:tc>
        <w:tc>
          <w:tcPr>
            <w:tcW w:w="166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Asia and Australia</w:t>
            </w: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660" w:type="dxa"/>
            <w:vAlign w:val="bottom"/>
            <w:gridSpan w:val="2"/>
          </w:tcPr>
          <w:p>
            <w:pPr>
              <w:jc w:val="right"/>
              <w:ind w:right="12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40" w:type="dxa"/>
            <w:vAlign w:val="bottom"/>
          </w:tcPr>
          <w:p>
            <w:pPr>
              <w:jc w:val="right"/>
              <w:ind w:right="93"/>
              <w:spacing w:after="0"/>
              <w:rPr>
                <w:sz w:val="20"/>
                <w:szCs w:val="20"/>
                <w:color w:val="auto"/>
              </w:rPr>
            </w:pPr>
            <w:r>
              <w:rPr>
                <w:rFonts w:ascii="Arial" w:cs="Arial" w:eastAsia="Arial" w:hAnsi="Arial"/>
                <w:sz w:val="18"/>
                <w:szCs w:val="18"/>
                <w:color w:val="auto"/>
              </w:rPr>
              <w:t>0.4</w:t>
            </w:r>
          </w:p>
        </w:tc>
      </w:tr>
      <w:tr>
        <w:trPr>
          <w:trHeight w:val="27"/>
        </w:trPr>
        <w:tc>
          <w:tcPr>
            <w:tcW w:w="6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Substantially all of the Company’s net revenues are derived from sales of wireless access products. Any significant decline in market acceptance of the Company’s products or in the financial condition of the Company’s customers would have an adverse effect on the Company’s results of operations and financial condition.</w:t>
      </w:r>
    </w:p>
    <w:p>
      <w:pPr>
        <w:spacing w:after="0" w:line="46" w:lineRule="exact"/>
        <w:rPr>
          <w:sz w:val="20"/>
          <w:szCs w:val="20"/>
          <w:color w:val="auto"/>
        </w:rPr>
      </w:pPr>
    </w:p>
    <w:p>
      <w:pPr>
        <w:ind w:firstLine="432"/>
        <w:spacing w:after="0" w:line="334" w:lineRule="auto"/>
        <w:rPr>
          <w:sz w:val="20"/>
          <w:szCs w:val="20"/>
          <w:color w:val="auto"/>
        </w:rPr>
      </w:pPr>
      <w:r>
        <w:rPr>
          <w:rFonts w:ascii="Arial" w:cs="Arial" w:eastAsia="Arial" w:hAnsi="Arial"/>
          <w:sz w:val="16"/>
          <w:szCs w:val="16"/>
          <w:color w:val="auto"/>
        </w:rPr>
        <w:t>A significant portion of the Company’s net revenues come from a small number of customers. One customer accounted for 51.6% , 58.0% and 57.5% of 2014, 2013 and 2012 net revenues, respectively. All significant customers are included in the Company’s Mobile Computing Products segment.</w:t>
      </w:r>
    </w:p>
    <w:p>
      <w:pPr>
        <w:spacing w:after="0" w:line="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 significant portion of the Company’s accounts receivables comes from a small number of customers. At December 31, 2014, the Company had one customer who accounted for 46.1% of total accounts receivable. At December 31, 2013, the Company had three customers who accounted for 24.5%, 12.6% and 12.0% of total accounts receivable.</w:t>
      </w:r>
    </w:p>
    <w:p>
      <w:pPr>
        <w:spacing w:after="0" w:line="46" w:lineRule="exact"/>
        <w:rPr>
          <w:sz w:val="20"/>
          <w:szCs w:val="20"/>
          <w:color w:val="auto"/>
        </w:rPr>
      </w:pPr>
    </w:p>
    <w:p>
      <w:pPr>
        <w:ind w:right="120" w:firstLine="432"/>
        <w:spacing w:after="0" w:line="312" w:lineRule="auto"/>
        <w:rPr>
          <w:sz w:val="20"/>
          <w:szCs w:val="20"/>
          <w:color w:val="auto"/>
        </w:rPr>
      </w:pPr>
      <w:r>
        <w:rPr>
          <w:rFonts w:ascii="Arial" w:cs="Arial" w:eastAsia="Arial" w:hAnsi="Arial"/>
          <w:sz w:val="16"/>
          <w:szCs w:val="16"/>
          <w:color w:val="auto"/>
        </w:rPr>
        <w:t>The Company outsources its manufacturing to several third-party manufacturers. If they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net revenues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Savings Plan</w:t>
      </w:r>
    </w:p>
    <w:p>
      <w:pPr>
        <w:spacing w:after="0" w:line="175" w:lineRule="exact"/>
        <w:rPr>
          <w:sz w:val="20"/>
          <w:szCs w:val="20"/>
          <w:color w:val="auto"/>
        </w:rPr>
      </w:pPr>
    </w:p>
    <w:p>
      <w:pPr>
        <w:ind w:right="20" w:firstLine="432"/>
        <w:spacing w:after="0" w:line="271" w:lineRule="auto"/>
        <w:rPr>
          <w:sz w:val="20"/>
          <w:szCs w:val="20"/>
          <w:color w:val="auto"/>
        </w:rPr>
      </w:pPr>
      <w:r>
        <w:rPr>
          <w:rFonts w:ascii="Arial" w:cs="Arial" w:eastAsia="Arial" w:hAnsi="Arial"/>
          <w:sz w:val="17"/>
          <w:szCs w:val="17"/>
          <w:color w:val="auto"/>
        </w:rPr>
        <w:t>The Company has a defined contribution 401(K) retirement savings plan (the “Plan”). Substantially all of the Company’s U.S. employees are eligible to participate in the Plan after meeting certain minimum age and service requirements. Effective August 1, 2014, the Company suspended its matching program. Employees may make discretionary contributions to the Plan subject to Internal Revenue Service limitations. Employer matching contributions under the plan amounted to approximately $579,000, $1.0 million and $1.2 million for the years ended December 31, 2014, 2013 and 2012, respectively. Employer matching contributions vest over a two-year period. The Company has a registered retirement savings plan for its Canadian employees. Substantially all of the Company’s Canadian employees are eligible to participate in this plan. Employees make discretionary contributions to the plan subject to local limitations. Employer contributions to the Canadian plan amounted to approximately $26,000, $157,000 and $232,000 for the years ended December 31, 2014, 2013 and 2012,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Restructuring</w:t>
      </w:r>
    </w:p>
    <w:p>
      <w:pPr>
        <w:spacing w:after="0" w:line="175"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September 2013, the Company commenced certain restructuring initiatives (“2013 Initiatives”) including the closure of the Company’s development site in Calgary, Canada, and the consolidation of certain supply chain management activities. During February and March 2014, the Company commenced additional reduction in force initiatives resulting in headcount reductions of 41 employees and 21 employees, respectively, and during June 2014 a further headcount reduction of five employees at its Calgary, Canada site.</w:t>
      </w:r>
    </w:p>
    <w:p>
      <w:pPr>
        <w:spacing w:after="0" w:line="52"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connection with the 2013 Initiatives and for the twelve months ended December 31, 2014, the Company recorded restructuring charges of $2.9 million, which consisted of $1.7 million in employee severance costs and $1.2 million in facility exit related costs related to ongoing assessment of estimates of the timing and amounts of sublease income.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Total restructuring charges incurred to date relating to the 2013 Initiatives discussed above, are approximately $6.2 million, including restructuring charges recorded during the year ended December 31, 2013 of approximately $3.3 million.</w:t>
      </w:r>
    </w:p>
    <w:p>
      <w:pPr>
        <w:spacing w:after="0" w:line="35"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 xml:space="preserve">The Company accounts for facility exit costs in accordance with FASB ASC Topic 420, </w:t>
      </w:r>
      <w:r>
        <w:rPr>
          <w:rFonts w:ascii="Arial" w:cs="Arial" w:eastAsia="Arial" w:hAnsi="Arial"/>
          <w:sz w:val="16"/>
          <w:szCs w:val="16"/>
          <w:i w:val="1"/>
          <w:iCs w:val="1"/>
          <w:color w:val="auto"/>
        </w:rPr>
        <w:t>Exit or Disposal Cost Obligations</w:t>
      </w:r>
      <w:r>
        <w:rPr>
          <w:rFonts w:ascii="Arial" w:cs="Arial" w:eastAsia="Arial" w:hAnsi="Arial"/>
          <w:sz w:val="16"/>
          <w:szCs w:val="16"/>
          <w:color w:val="auto"/>
        </w:rPr>
        <w:t>, which requires that a liability for such costs be recognized and measured initially at fair value on the cease-use date based on remaining lease rentals, adjusted for the effects of any prepaid or deferred items recognized, reduced by the estimated sublease rentals that could be reasonably obtained even if it is not the intent to sublease.</w:t>
      </w:r>
    </w:p>
    <w:p>
      <w:pPr>
        <w:spacing w:after="0" w:line="1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Company is required to estimate future sublease income and future net operating expenses of the facilities, among other expenses. The most significant of these estimates relate to the timing and extent of future sublease income which reduce lease obligations, and the probability that such sublease income will be realized. The Company based estimates of sublease income, in part, on information from third party real estate experts, current market conditions and rental rates, an assessment of the time period over which reasonable estimates could be made, and the location of the respective facility, among other factors. Further adjustments to the facility exit liability accrual will be required in future periods if actual exit costs or sublease income differ from amounts currently expected. Exit costs the Company records under these provisions are neither associated with, nor do they benefit, continuing activities.</w:t>
      </w:r>
    </w:p>
    <w:p>
      <w:pPr>
        <w:spacing w:after="0" w:line="30" w:lineRule="exact"/>
        <w:rPr>
          <w:sz w:val="20"/>
          <w:szCs w:val="20"/>
          <w:color w:val="auto"/>
        </w:rPr>
      </w:pPr>
    </w:p>
    <w:p>
      <w:pPr>
        <w:ind w:right="340" w:firstLine="405"/>
        <w:spacing w:after="0" w:line="257" w:lineRule="auto"/>
        <w:rPr>
          <w:sz w:val="20"/>
          <w:szCs w:val="20"/>
          <w:color w:val="auto"/>
        </w:rPr>
      </w:pPr>
      <w:r>
        <w:rPr>
          <w:rFonts w:ascii="Arial" w:cs="Arial" w:eastAsia="Arial" w:hAnsi="Arial"/>
          <w:sz w:val="18"/>
          <w:szCs w:val="18"/>
          <w:color w:val="auto"/>
        </w:rPr>
        <w:t>In June 2014, the Company commenced certain restructuring initiatives relating to the reorganization of executive level management (“2014 Initiatives”), which included among other actions the replacement of the former Chief Executive Officer with the current Chief Executive Officer. In connection with the 2014 Initiatives, and for the twelve months ended December 31, 2014, the Company recorded restructuring charges of approximately $4.9 million, including approximately $1.3 million related to the accelerated vesting of all of former Chief Executive Officer's restricted stock units and options which vested immediately upon his departure.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activity in the restructuring liability for the twelve months ended December 31, 2014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i w:val="1"/>
                <w:iCs w:val="1"/>
                <w:color w:val="auto"/>
              </w:rPr>
              <w:t>2013 Initiatives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975"/>
              <w:spacing w:after="0"/>
              <w:rPr>
                <w:sz w:val="20"/>
                <w:szCs w:val="20"/>
                <w:color w:val="auto"/>
              </w:rPr>
            </w:pPr>
            <w:r>
              <w:rPr>
                <w:rFonts w:ascii="Arial" w:cs="Arial" w:eastAsia="Arial" w:hAnsi="Arial"/>
                <w:sz w:val="14"/>
                <w:szCs w:val="14"/>
                <w:b w:val="1"/>
                <w:bCs w:val="1"/>
                <w:i w:val="1"/>
                <w:iCs w:val="1"/>
                <w:color w:val="auto"/>
              </w:rPr>
              <w:t>2014 Initiatives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Employee</w:t>
            </w:r>
          </w:p>
        </w:tc>
        <w:tc>
          <w:tcPr>
            <w:tcW w:w="18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Facility Exit</w:t>
            </w: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Employment</w:t>
            </w:r>
          </w:p>
        </w:tc>
        <w:tc>
          <w:tcPr>
            <w:tcW w:w="140" w:type="dxa"/>
            <w:vAlign w:val="bottom"/>
          </w:tcPr>
          <w:p>
            <w:pPr>
              <w:spacing w:after="0"/>
              <w:rPr>
                <w:sz w:val="13"/>
                <w:szCs w:val="13"/>
                <w:color w:val="auto"/>
              </w:rPr>
            </w:pPr>
          </w:p>
        </w:tc>
        <w:tc>
          <w:tcPr>
            <w:tcW w:w="15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Share-based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Severance</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Contract</w:t>
            </w: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4"/>
              </w:rPr>
              <w:t>Related Costs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2"/>
              </w:rPr>
              <w:t>Costs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8"/>
              </w:rPr>
              <w:t>Compensation Costs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Accruals</w:t>
            </w:r>
          </w:p>
        </w:tc>
        <w:tc>
          <w:tcPr>
            <w:tcW w:w="140" w:type="dxa"/>
            <w:vAlign w:val="bottom"/>
          </w:tcPr>
          <w:p>
            <w:pPr>
              <w:spacing w:after="0"/>
              <w:rPr>
                <w:sz w:val="21"/>
                <w:szCs w:val="21"/>
                <w:color w:val="auto"/>
              </w:rPr>
            </w:pPr>
          </w:p>
        </w:tc>
        <w:tc>
          <w:tcPr>
            <w:tcW w:w="840" w:type="dxa"/>
            <w:vAlign w:val="bottom"/>
          </w:tcPr>
          <w:p>
            <w:pPr>
              <w:jc w:val="right"/>
              <w:ind w:right="18"/>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7,760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1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balance of the restructuring liability at December 31, 2014 consists of approximately $1.9 million in current liabilities and $60,000 in non-current liabilities. The balance of the restructuring liability at December 31, 2014 is anticipated to be fully distributed by the end of 2016, at the expiration of the Company’s facility lease in San Diego.</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F- 29</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unaudited quarterly results of operations for the years ended December 31, 2014 and 2013.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Quarter</w:t>
            </w:r>
          </w:p>
        </w:tc>
        <w:tc>
          <w:tcPr>
            <w:tcW w:w="1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First</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Second</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Third</w:t>
            </w: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Fourth</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w w:val="92"/>
              </w:rPr>
              <w:t>(in thousands, except per share amounts)</w:t>
            </w: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48,284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37,270</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44,330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55,361</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10,068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3,987</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10,486</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(8,981)</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(17,415)</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(8,832)</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(4,446)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loss per common share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(0.26)</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net loss per common share</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(0.26)</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(0.51)</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85,921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91,124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92,673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65,335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16,848</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19,024</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20,383</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loss attributable to common shareholders</w:t>
            </w:r>
          </w:p>
        </w:tc>
        <w:tc>
          <w:tcPr>
            <w:tcW w:w="3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(9,122)</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(7,892)</w:t>
            </w: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(5,093)</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(21,306)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net loss per common share</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(0.27)</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4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F- 30</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NOVATEL WIRELESS,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2014, 2013 and 2012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Additions</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Deductions</w:t>
            </w:r>
          </w:p>
        </w:tc>
        <w:tc>
          <w:tcPr>
            <w:tcW w:w="320" w:type="dxa"/>
            <w:vAlign w:val="bottom"/>
          </w:tcPr>
          <w:p>
            <w:pPr>
              <w:spacing w:after="0"/>
              <w:rPr>
                <w:sz w:val="14"/>
                <w:szCs w:val="14"/>
                <w:color w:val="auto"/>
              </w:rPr>
            </w:pPr>
          </w:p>
        </w:tc>
        <w:tc>
          <w:tcPr>
            <w:tcW w:w="1160" w:type="dxa"/>
            <w:vAlign w:val="bottom"/>
          </w:tcPr>
          <w:p>
            <w:pPr>
              <w:jc w:val="right"/>
              <w:ind w:right="414"/>
              <w:spacing w:after="0"/>
              <w:rPr>
                <w:sz w:val="20"/>
                <w:szCs w:val="20"/>
                <w:color w:val="auto"/>
              </w:rPr>
            </w:pPr>
            <w:r>
              <w:rPr>
                <w:rFonts w:ascii="Arial" w:cs="Arial" w:eastAsia="Arial" w:hAnsi="Arial"/>
                <w:sz w:val="14"/>
                <w:szCs w:val="14"/>
                <w:b w:val="1"/>
                <w:bCs w:val="1"/>
                <w:color w:val="auto"/>
              </w:rPr>
              <w:t>Balance</w:t>
            </w:r>
          </w:p>
        </w:tc>
      </w:tr>
      <w:tr>
        <w:trPr>
          <w:trHeight w:val="149"/>
        </w:trPr>
        <w:tc>
          <w:tcPr>
            <w:tcW w:w="5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Beginning</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From</w:t>
            </w:r>
          </w:p>
        </w:tc>
        <w:tc>
          <w:tcPr>
            <w:tcW w:w="320" w:type="dxa"/>
            <w:vAlign w:val="bottom"/>
          </w:tcPr>
          <w:p>
            <w:pPr>
              <w:spacing w:after="0"/>
              <w:rPr>
                <w:sz w:val="12"/>
                <w:szCs w:val="12"/>
                <w:color w:val="auto"/>
              </w:rPr>
            </w:pPr>
          </w:p>
        </w:tc>
        <w:tc>
          <w:tcPr>
            <w:tcW w:w="1160" w:type="dxa"/>
            <w:vAlign w:val="bottom"/>
          </w:tcPr>
          <w:p>
            <w:pPr>
              <w:jc w:val="right"/>
              <w:ind w:right="434"/>
              <w:spacing w:after="0" w:line="149" w:lineRule="exact"/>
              <w:rPr>
                <w:sz w:val="20"/>
                <w:szCs w:val="20"/>
                <w:color w:val="auto"/>
              </w:rPr>
            </w:pPr>
            <w:r>
              <w:rPr>
                <w:rFonts w:ascii="Arial" w:cs="Arial" w:eastAsia="Arial" w:hAnsi="Arial"/>
                <w:sz w:val="14"/>
                <w:szCs w:val="14"/>
                <w:b w:val="1"/>
                <w:bCs w:val="1"/>
                <w:color w:val="auto"/>
              </w:rPr>
              <w:t>At End</w:t>
            </w:r>
          </w:p>
        </w:tc>
      </w:t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of Year</w:t>
            </w: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Operations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Reserves</w:t>
            </w:r>
          </w:p>
        </w:tc>
        <w:tc>
          <w:tcPr>
            <w:tcW w:w="32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of Year</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2012</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627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Warranty: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1,196</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2,244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2012</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1,525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6,261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5,457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2,329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79,458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11,316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90,774</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63,881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79,458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2012</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36,395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63,881</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Sales Returns and Allowances: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2014</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155</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December 31, 2012</w:t>
            </w:r>
          </w:p>
        </w:tc>
        <w:tc>
          <w:tcPr>
            <w:tcW w:w="24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911</w:t>
            </w:r>
          </w:p>
        </w:tc>
      </w:tr>
      <w:tr>
        <w:trPr>
          <w:trHeight w:val="702"/>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color w:val="auto"/>
              </w:rPr>
              <w:t>F- 31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36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378"/>
        </w:trPr>
        <w:tc>
          <w:tcPr>
            <w:tcW w:w="11300" w:type="dxa"/>
            <w:vAlign w:val="bottom"/>
            <w:gridSpan w:val="4"/>
          </w:tcPr>
          <w:p>
            <w:pPr>
              <w:ind w:left="380"/>
              <w:spacing w:after="0"/>
              <w:rPr>
                <w:sz w:val="20"/>
                <w:szCs w:val="20"/>
                <w:color w:val="auto"/>
              </w:rPr>
            </w:pPr>
            <w:r>
              <w:rPr>
                <w:rFonts w:ascii="Arial" w:cs="Arial" w:eastAsia="Arial" w:hAnsi="Arial"/>
                <w:sz w:val="18"/>
                <w:szCs w:val="18"/>
                <w:color w:val="auto"/>
              </w:rPr>
              <w:t>The following Exhibits are filed as part of, or incorporated by reference into, this Annual Report on Form 10-K:</w:t>
            </w:r>
          </w:p>
        </w:tc>
      </w:tr>
      <w:tr>
        <w:trPr>
          <w:trHeight w:val="50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398"/>
        </w:trPr>
        <w:tc>
          <w:tcPr>
            <w:tcW w:w="640" w:type="dxa"/>
            <w:vAlign w:val="bottom"/>
          </w:tcPr>
          <w:p>
            <w:pPr>
              <w:spacing w:after="0"/>
              <w:rPr>
                <w:sz w:val="20"/>
                <w:szCs w:val="20"/>
                <w:color w:val="auto"/>
              </w:rPr>
            </w:pPr>
            <w:r>
              <w:rPr>
                <w:rFonts w:ascii="Arial" w:cs="Arial" w:eastAsia="Arial" w:hAnsi="Arial"/>
                <w:sz w:val="18"/>
                <w:szCs w:val="18"/>
                <w:color w:val="auto"/>
              </w:rPr>
              <w:t>2.1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Agreement and Plan of Merger, dated as of November 5, 2010, by and between Novatel Wireless, Inc., England Acquisition Corp. and Enfora,</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 (incorporated by reference to Exhibit 2.1 to the Company’s Current Report on Form 8-K, filed on November 10, 2010).</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3.1 to the Company’s Annual Report on Form 10-K</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 the year ended December 31, 2000, filed March 27, 2001).</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3.1 to the Company’s</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September 30, 2002, filed November 14, 2002).</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Certificate of Amendment to Amended and Restated Certificate of Incorporation (incorporated by reference to Exhibit 3.2 to the Company’s</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Amendment No. 1 to Form 10-K on Form 10-K/A for the year ended December 31, 2003, filed March 31, 2004).</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Certificate of Amendment to Amended and Restated Certificate of Incorporation.</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Amended and Restated Certificate of Designation of Series A Convertible Preferred Stock (incorporated by reference to Exhibit 3.4 to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Company’s Amendment No. 1 to Form 10-K on Form 10-K/A for the year ended December 31, 2003, filed March 31, 2004).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Certificate of Designation of Series B Convertible Preferred Stock (incorporated by reference to Exhibit 3.5 to the Company’s Amendment</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 1 to Form 10-K on Form 10-K/A for the year ended December 31, 2003, filed March 31, 2004).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Certificate of Designation of Series C Convertible Preferred Stock (incorporated by reference to Exhibit 3.1 to the Company’s Current Report</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8-K, filed September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Second Amended and Restated Bylaws (incorporated by reference to Exhibit 3.1 to the Company’s Current Report on Form 8-K, filed</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February 19, 2015).</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Registration Rights Agreement, dated as of June 15, 1999, by and among the Company and certain of its stockholders</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(incorporated by reference to Exhibit 10.4 to the Company’s Registration Statement on Form S-1 (No. 333-42570), filed July 28, 2000, as</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amended).</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Form of Securities Purchase Agreement entered into in connection with the Company’s 2003 Series B Convertible Preferred Stock Financing</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(incorporated by reference to Exhibit 4.1 to the Company’s Current Report on Form 8-K, filed March 28, 2003).</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Registration Rights Agreement, dated as of March 12, 2003, entered into in connection with the Company’s 2003 Series B Convertible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Preferred Stock Financing (incorporated by reference to Exhibit 4.8 to the Company’s Current Report on Form 8-K, filed March 28, 2003).</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Registration Rights Agreement, dated as of January 13, 2004, entered into in connection with the Company’s January 2004 Common Stock</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and Warrant Financing Transaction (incorporated by reference to Exhibit 10.21 to the Company’s Annual Report on Form 10-K for the year</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2003, filed March 15, 2004).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8"/>
              </w:rPr>
              <w:t>Stipulation of Settlement, dated January 31, 2014 and effective as of June 20, 2014 (incorporated by reference to Exhibit 4.1 to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Company’s Quarterly Report on Form 10-Q for the period ended June 30, 2014, filed August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Promissory Note, dated July 3, 2014 (incorporated by reference to Exhibit 4.2 to the Company’s Quarterly Report on Form 10-Q for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period ended June 30, 2014, filed August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Security Agreement, dated July 3, 2014 (incorporated by reference to Exhibit 4.3 to the Company’s Quarterly Report on Form 10-Q for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period ended June 30, 2014, filed August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Final Judgment and Order of Dismissal With Prejudice, dated June 23, 2014 (incorporated by reference to Exhibit 4.4 to the Company’s</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June 30, 2014, filed August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4.9</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Order Granting Motion to Amend the Judgment Date, dated July 8, 2014 (incorporated by reference to Exhibit 4.5 to the Company’s</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period ended June 30, 2014, filed August 8, 2014).</w:t>
            </w:r>
          </w:p>
        </w:tc>
      </w:tr>
    </w:tbl>
    <w:p>
      <w:pPr>
        <w:sectPr>
          <w:pgSz w:w="11900" w:h="16838" w:orient="portrait"/>
          <w:cols w:equalWidth="0" w:num="1">
            <w:col w:w="11360"/>
          </w:cols>
          <w:pgMar w:left="240" w:top="125" w:right="29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398"/>
        </w:trPr>
        <w:tc>
          <w:tcPr>
            <w:tcW w:w="640" w:type="dxa"/>
            <w:vAlign w:val="bottom"/>
          </w:tcPr>
          <w:p>
            <w:pPr>
              <w:spacing w:after="0"/>
              <w:rPr>
                <w:sz w:val="20"/>
                <w:szCs w:val="20"/>
                <w:color w:val="auto"/>
              </w:rPr>
            </w:pPr>
            <w:r>
              <w:rPr>
                <w:rFonts w:ascii="Arial" w:cs="Arial" w:eastAsia="Arial" w:hAnsi="Arial"/>
                <w:sz w:val="18"/>
                <w:szCs w:val="18"/>
                <w:color w:val="auto"/>
              </w:rPr>
              <w:t>4.10</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Warrant to Purchase Common Stock issued to HC2 Holdings 2, Inc., dated September 8, 2014 (incorporated by reference to Exhibit 4.1 to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Company’s Current Report on Form 8-K, filed September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4.11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Investors’ Rights Agreement, dated September 8, 2014, by and between Novatel Wireless, Inc. and HC2 Holdings 2, Inc. (incorporated by</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reference to Exhibit 4.2 to the Company’s Current Report on Form 8-K, filed September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Credit and Security Agreement, dated as of October 31, 2014, by and among Novatel Wireless, Inc. and Enfora, Inc., as Borrowers, and Wells</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Fargo Bank, National Association, as Lender (incorporated by reference to Exhibit 10.1 to the Company’s Current Report on Form 8-K, filed</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November 6,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Purchase Agreement, dated September 3, 2014, by and between Novatel Wireless, Inc. and HC2 Holdings 2, Inc. (incorporated by reference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to Exhibit 10.1 to the Company’s Current Report on Form 8-K, filed September 8,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Memorandum of Understanding: In re Novatel Wireless Secs. Litig., Civil Action No. 08-CV-01689-AJB (RBB) United States District Court</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for the Southern District of California, executed December 6, 2013 (incorporated by reference to Exhibit 10.19 to the Company’s Annual</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 on Form 10-K, filed March 12,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Letter Agreement, dated as of April 29, 2014, by and among the Company and each of Cobb H. Sadler, Edward T. Shadek, Robert Ellsworth,</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Alex Mashinsky, Richard A. Karp, Maguire Financial, LP, a Delaware limited partnership, Maguire Asset Management, LLC, a Delaware</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limited liability company, and Timothy Maguire (incorporated by reference to Exhibit 10.1 to the Company’s Current Report on Form 8-K,</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May 6,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Confirmation Letter, dated July 3, 2014, by and among the Company and each of Cobb H. Sadler, Edward T. Shadek, Robert Ellsworth,</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Maguire Financial, LP, a Delaware limited partnership, Maguire Asset Management, LLC, a Delaware limited liability company, and Timothy</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Maguire (incorporated by reference to Exhibit 10.1 to the Company’s Current Report on Form 8-K, filed July 10,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6"/>
              </w:rPr>
              <w:t>Amended and Restated 1997 Employee Stock Option Plan (“1997 Plan”) (incorporated by reference to Exhibit 10.1 to the Company’s</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S-1 (No. 333-42570), filed July 28, 2000 as amended).</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Amended and Restated Novatel Wireless, Inc. 2000 Stock Incentive Plan (“2000 Plan”) (incorporated by reference to Exhibit 10.1 to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Company’s Quarterly Report on Form 10-Q for the quarter ended June 30, 2007, filed August 9, 2007).</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Form of Executive Officer Stock Option Agreement under the 2000 Plan (incorporated by reference to Exhibit 10.3 to the Company’s Annual</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 on Form 10-K for the year ended December 31, 2005, filed March 16, 2006).</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Form of Director Stock Option Agreement under the 2000 Plan (incorporated by reference to Exhibit 10.4 to the Company’s Annual Report</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Form 10-K for the year ended December 31, 2005, filed March 16, 2006).</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1997</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Plan (incorporated by reference to Exhibit 10.2 to the Company’s Quarterly Report on Form 10-Q for the period ended September 30, 2006,</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November 9, 2006).</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2000</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Plan (incorporated by reference to Exhibit 10.3 to the Company’s Quarterly Report on Form 10-Q for the period ended September 30, 2006,</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November 9, 2006).</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Form of Amendment of Stock Option Agreements, dated July 20, 2006, by and between the Company and Optionee with respect to the 2000</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Plan and grants made pursuant thereto in 2004 and subsequently (incorporated by reference to Exhibit 10.4 to the Company’s Quarterly</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Report on Form 10-Q for the period ended September 30, 2006, filed November 9, 2006).</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7"/>
              </w:rPr>
              <w:t>Amended and Restated Novatel Wireless, Inc. 2000 Employee Stock Purchase Plan (incorporated by reference to Appendix A to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Company’s Proxy Statement on Schedule 14A filed May 2, 2011).</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Form of Restricted Share Award Agreement for restricted stock granted to non-employee directors (incorporated by reference to Exhibit 10.10</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to the Company’s Quarterly Report on Form 10-Q for the period ended June 30, 2006, filed August 9, 2006).</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Form of Restricted Share Award Agreement for restricted stock granted to executive officers (incorporated by reference to Exhibit 10.11 to</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Company’s Quarterly Report on Form 10-Q for the period ended June 30, 2006, filed August 9, 2006).</w:t>
            </w:r>
          </w:p>
        </w:tc>
      </w:tr>
    </w:tbl>
    <w:p>
      <w:pPr>
        <w:sectPr>
          <w:pgSz w:w="11900" w:h="16838" w:orient="portrait"/>
          <w:cols w:equalWidth="0" w:num="1">
            <w:col w:w="11360"/>
          </w:cols>
          <w:pgMar w:left="240" w:top="125" w:right="2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360" w:type="dxa"/>
            <w:vAlign w:val="bottom"/>
          </w:tcPr>
          <w:p>
            <w:pPr>
              <w:spacing w:after="0"/>
              <w:rPr>
                <w:sz w:val="17"/>
                <w:szCs w:val="17"/>
                <w:color w:val="auto"/>
              </w:rPr>
            </w:pPr>
          </w:p>
        </w:tc>
      </w:tr>
      <w:tr>
        <w:trPr>
          <w:trHeight w:val="196"/>
        </w:trPr>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398"/>
        </w:trPr>
        <w:tc>
          <w:tcPr>
            <w:tcW w:w="640" w:type="dxa"/>
            <w:vAlign w:val="bottom"/>
          </w:tcPr>
          <w:p>
            <w:pPr>
              <w:spacing w:after="0"/>
              <w:rPr>
                <w:sz w:val="20"/>
                <w:szCs w:val="20"/>
                <w:color w:val="auto"/>
              </w:rPr>
            </w:pPr>
            <w:r>
              <w:rPr>
                <w:rFonts w:ascii="Arial" w:cs="Arial" w:eastAsia="Arial" w:hAnsi="Arial"/>
                <w:sz w:val="18"/>
                <w:szCs w:val="18"/>
                <w:color w:val="auto"/>
              </w:rPr>
              <w:t>10.16*</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9"/>
              </w:rPr>
              <w:t>Form of Indemnification Agreement (incorporated by reference to Exhibit 10.2 to the Company’s Current Report on Form 8-K, filed</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November 6,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10.17*</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Form of Change of Control Letter Agreement by and between the Company and certain of its executive officers (incorporated by reference to</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Exhibit 10.1 to the Company’s Quarterly Report on Form 10-Q for the period ended June 30, 2004, filed August 16, 2004).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2009 Omnibus Incentive Compensation Plan (incorporated by reference to Appendix A to the Company’s Proxy Statement on Schedule 14A,</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October 14,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10.19*</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2009 Omnibus Incentive Compensation Plan (incorporated by reference to Appendix B to the Company’s Proxy Statement on Schedule 14A,</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April 30, 2013).</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2010 Senior Management Incentive Plan (incorporated by reference to Exhibit 10.1 to the Company’s Current Report on Form 8-K, filed</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September 13, 2010).</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2011 Senior Management Incentive Plan (incorporated by reference to Exhibit 10.1 to the Company’s Quarterly Report on Form 10-Q for the</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period ended June 30, 2011, filed on August 9, 2011).</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10.22*</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2012 Senior Management Incentive Plan (incorporated by reference to Exhibit 10.1 to the Company’s Current Report on Form 8-K, filed July</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6, 2012).</w:t>
            </w:r>
          </w:p>
        </w:tc>
        <w:tc>
          <w:tcPr>
            <w:tcW w:w="9360" w:type="dxa"/>
            <w:vAlign w:val="bottom"/>
          </w:tcPr>
          <w:p>
            <w:pPr>
              <w:spacing w:after="0"/>
              <w:rPr>
                <w:sz w:val="20"/>
                <w:szCs w:val="20"/>
                <w:color w:val="auto"/>
              </w:rPr>
            </w:pP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10.23*</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2013 Senior Management Incentive Plan (incorporated by reference to Exhibit 10.1 to the Company's Current Report on Form 8-K, filed</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March 22, 2013).</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rPr>
              <w:t>10.24**</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2014 Retention Bonus Plan.</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10.25*</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November 2, 2007, by and between Peter V. Leparulo and the Company (incorporated by reference to Exhibit</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10.1 to the Company’s Quarterly Report on Form 10-Q for the quarter ended September 30, 2007, filed November 9, 2007).</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10.26*</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Letter Agreement, dated as of April 29, 2014, by and between the Company and Peter V. Leparulo (incorporated by reference to Exhibit 10.2</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of the Company’s Current Report on Form 8-K, filed May 6,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10.27*</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5"/>
              </w:rPr>
              <w:t>Form of Severance Agreement between Novatel Wireless, Inc. and each of Kenneth G. Leddon and Robert M. Hadley (incorporated by</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reference to Exhibit 10.1 to the Company’s Current Report on Form 8-K, filed August 2, 2010).</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10.28*</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Employment Agreement, dated August 4, 2014, by and between the Company and Alex Mashinsky (incorporated by reference to Exhibit 10.1</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to the Company’s Current Report on Form 8-K, filed August 6,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10.29*</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Offer Letter, dated November 2, 2014, by and between Novatel Wireless, Inc. and Alex Mashinsky (incorporated by reference to Exhibit 10.3</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to the Company’s Current Report on Form 8-K, filed November 6,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10.30*</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Offer letter, effective September 2, 2014, by and between the Company and Michael Newman (incorporated by reference to Exhibit 10.1 to</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Company’s Current Report on Form 8-K, filed September 4, 2014).</w:t>
            </w:r>
          </w:p>
        </w:tc>
      </w:tr>
      <w:tr>
        <w:trPr>
          <w:trHeight w:val="377"/>
        </w:trPr>
        <w:tc>
          <w:tcPr>
            <w:tcW w:w="640" w:type="dxa"/>
            <w:vAlign w:val="bottom"/>
          </w:tcPr>
          <w:p>
            <w:pPr>
              <w:spacing w:after="0"/>
              <w:rPr>
                <w:sz w:val="20"/>
                <w:szCs w:val="20"/>
                <w:color w:val="auto"/>
              </w:rPr>
            </w:pPr>
            <w:r>
              <w:rPr>
                <w:rFonts w:ascii="Arial" w:cs="Arial" w:eastAsia="Arial" w:hAnsi="Arial"/>
                <w:sz w:val="18"/>
                <w:szCs w:val="18"/>
                <w:color w:val="auto"/>
              </w:rPr>
              <w:t>10.31*</w:t>
            </w:r>
          </w:p>
        </w:tc>
        <w:tc>
          <w:tcPr>
            <w:tcW w:w="40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Change in Control and Severance Agreement, effective September 2, 2014, by and between the Company and Michael Newman (incorporated</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by reference to Exhibit 10.2 to the Company’s Current Report on Form 8-K, filed September 4, 2014).</w:t>
            </w:r>
          </w:p>
        </w:tc>
      </w:tr>
    </w:tbl>
    <w:p>
      <w:pPr>
        <w:spacing w:after="0" w:line="161" w:lineRule="exact"/>
        <w:rPr>
          <w:sz w:val="20"/>
          <w:szCs w:val="20"/>
          <w:color w:val="auto"/>
        </w:rPr>
      </w:pPr>
    </w:p>
    <w:p>
      <w:pPr>
        <w:ind w:left="1100" w:right="220" w:hanging="1038"/>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Subsidiaries of Novatel Wireless, Inc. (incorporated by reference to Exhibit 21 to the Company’s Annual Report on Form 10-K for the year ended December 31, 2013, filed March 12, 2014).</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10520" w:type="dxa"/>
            <w:vAlign w:val="bottom"/>
          </w:tcPr>
          <w:p>
            <w:pPr>
              <w:ind w:left="2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24**</w:t>
            </w:r>
          </w:p>
        </w:tc>
        <w:tc>
          <w:tcPr>
            <w:tcW w:w="10520" w:type="dxa"/>
            <w:vAlign w:val="bottom"/>
          </w:tcPr>
          <w:p>
            <w:pPr>
              <w:ind w:left="280"/>
              <w:spacing w:after="0"/>
              <w:rPr>
                <w:sz w:val="20"/>
                <w:szCs w:val="20"/>
                <w:color w:val="auto"/>
              </w:rPr>
            </w:pPr>
            <w:r>
              <w:rPr>
                <w:rFonts w:ascii="Arial" w:cs="Arial" w:eastAsia="Arial" w:hAnsi="Arial"/>
                <w:sz w:val="18"/>
                <w:szCs w:val="18"/>
                <w:color w:val="auto"/>
              </w:rPr>
              <w:t>Power of Attorney (See signature page).</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520" w:type="dxa"/>
            <w:vAlign w:val="bottom"/>
          </w:tcPr>
          <w:p>
            <w:pPr>
              <w:ind w:left="280"/>
              <w:spacing w:after="0"/>
              <w:rPr>
                <w:sz w:val="20"/>
                <w:szCs w:val="20"/>
                <w:color w:val="auto"/>
              </w:rPr>
            </w:pPr>
            <w:r>
              <w:rPr>
                <w:rFonts w:ascii="Arial" w:cs="Arial" w:eastAsia="Arial" w:hAnsi="Arial"/>
                <w:sz w:val="18"/>
                <w:szCs w:val="18"/>
                <w:color w:val="auto"/>
              </w:rPr>
              <w:t>Certification of our Principal Executive Officer adopted pursuant to Section 302 of the Sarbanes-Oxley Act of 2002.</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31.2**</w:t>
            </w:r>
          </w:p>
        </w:tc>
        <w:tc>
          <w:tcPr>
            <w:tcW w:w="10520" w:type="dxa"/>
            <w:vAlign w:val="bottom"/>
          </w:tcPr>
          <w:p>
            <w:pPr>
              <w:ind w:left="280"/>
              <w:spacing w:after="0"/>
              <w:rPr>
                <w:sz w:val="20"/>
                <w:szCs w:val="20"/>
                <w:color w:val="auto"/>
              </w:rPr>
            </w:pPr>
            <w:r>
              <w:rPr>
                <w:rFonts w:ascii="Arial" w:cs="Arial" w:eastAsia="Arial" w:hAnsi="Arial"/>
                <w:sz w:val="18"/>
                <w:szCs w:val="18"/>
                <w:color w:val="auto"/>
              </w:rPr>
              <w:t>Certification of our Principal Financial Officer adopted pursuant to Section 302 of the Sarbanes-Oxley Act of 2002.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32.1**</w:t>
            </w:r>
          </w:p>
        </w:tc>
        <w:tc>
          <w:tcPr>
            <w:tcW w:w="10520" w:type="dxa"/>
            <w:vAlign w:val="bottom"/>
          </w:tcPr>
          <w:p>
            <w:pPr>
              <w:ind w:left="280"/>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Sarbanes-Oxley</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Act of 2002.</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32.2**</w:t>
            </w:r>
          </w:p>
        </w:tc>
        <w:tc>
          <w:tcPr>
            <w:tcW w:w="10520" w:type="dxa"/>
            <w:vAlign w:val="bottom"/>
          </w:tcPr>
          <w:p>
            <w:pPr>
              <w:ind w:left="280"/>
              <w:spacing w:after="0"/>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 Act</w:t>
            </w:r>
          </w:p>
        </w:tc>
      </w:tr>
      <w:tr>
        <w:trPr>
          <w:trHeight w:val="230"/>
        </w:trPr>
        <w:tc>
          <w:tcPr>
            <w:tcW w:w="760" w:type="dxa"/>
            <w:vAlign w:val="bottom"/>
          </w:tcPr>
          <w:p>
            <w:pPr>
              <w:spacing w:after="0"/>
              <w:rPr>
                <w:sz w:val="20"/>
                <w:szCs w:val="20"/>
                <w:color w:val="auto"/>
              </w:rPr>
            </w:pPr>
          </w:p>
        </w:tc>
        <w:tc>
          <w:tcPr>
            <w:tcW w:w="10520" w:type="dxa"/>
            <w:vAlign w:val="bottom"/>
          </w:tcPr>
          <w:p>
            <w:pPr>
              <w:ind w:left="280"/>
              <w:spacing w:after="0"/>
              <w:rPr>
                <w:sz w:val="20"/>
                <w:szCs w:val="20"/>
                <w:color w:val="auto"/>
              </w:rPr>
            </w:pPr>
            <w:r>
              <w:rPr>
                <w:rFonts w:ascii="Arial" w:cs="Arial" w:eastAsia="Arial" w:hAnsi="Arial"/>
                <w:sz w:val="18"/>
                <w:szCs w:val="18"/>
                <w:color w:val="auto"/>
              </w:rPr>
              <w:t>of 2002.</w:t>
            </w:r>
          </w:p>
        </w:tc>
      </w:tr>
    </w:tbl>
    <w:p>
      <w:pPr>
        <w:sectPr>
          <w:pgSz w:w="11900" w:h="16838" w:orient="portrait"/>
          <w:cols w:equalWidth="0" w:num="1">
            <w:col w:w="11360"/>
          </w:cols>
          <w:pgMar w:left="240" w:top="125"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Exhibit</w:t>
      </w:r>
    </w:p>
    <w:p>
      <w:pPr>
        <w:spacing w:after="0" w:line="27" w:lineRule="exact"/>
        <w:rPr>
          <w:sz w:val="20"/>
          <w:szCs w:val="20"/>
          <w:color w:val="auto"/>
        </w:rPr>
      </w:pPr>
    </w:p>
    <w:p>
      <w:pPr>
        <w:ind w:left="60"/>
        <w:spacing w:after="0"/>
        <w:tabs>
          <w:tab w:leader="none" w:pos="108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u w:val="single" w:color="auto"/>
          <w:color w:val="auto"/>
        </w:rPr>
        <w:t>Description</w:t>
      </w:r>
    </w:p>
    <w:p>
      <w:pPr>
        <w:spacing w:after="0" w:line="170" w:lineRule="exact"/>
        <w:rPr>
          <w:sz w:val="20"/>
          <w:szCs w:val="20"/>
          <w:color w:val="auto"/>
        </w:rPr>
      </w:pPr>
    </w:p>
    <w:p>
      <w:pPr>
        <w:ind w:left="1100" w:hanging="1039"/>
        <w:spacing w:after="0" w:line="259"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statements and footnotes from the Novatel Wireless, Inc. Annual Report on Form 10-K for the year ended December 31, 2014 formatted in eXtensible Business Reporting Language (XBRL): (i) Consolidated Balance Sheets; (ii) Consolidated Statements of Operations; (iii) Consolidated Statements of Comprehensive Loss; (iv) Consolidated Statements of Stockholders’ Equity; (v) Consolidated Statements of Cash Flows; and (vi) the Notes to Consolidated Financial Statements.</w:t>
      </w:r>
    </w:p>
    <w:p>
      <w:pPr>
        <w:spacing w:after="0" w:line="146" w:lineRule="exact"/>
        <w:rPr>
          <w:sz w:val="20"/>
          <w:szCs w:val="20"/>
          <w:color w:val="auto"/>
        </w:rPr>
      </w:pPr>
    </w:p>
    <w:p>
      <w:pPr>
        <w:ind w:left="1100" w:hanging="1038"/>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185" w:lineRule="exact"/>
        <w:rPr>
          <w:sz w:val="20"/>
          <w:szCs w:val="20"/>
          <w:color w:val="auto"/>
        </w:rPr>
      </w:pPr>
    </w:p>
    <w:p>
      <w:pPr>
        <w:ind w:left="1100" w:hanging="1038"/>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60"/>
          </w:cols>
          <w:pgMar w:left="240" w:top="125" w:right="39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640"/>
        <w:spacing w:after="0"/>
        <w:rPr>
          <w:sz w:val="20"/>
          <w:szCs w:val="20"/>
          <w:color w:val="auto"/>
        </w:rPr>
      </w:pPr>
      <w:r>
        <w:rPr>
          <w:rFonts w:ascii="Arial" w:cs="Arial" w:eastAsia="Arial" w:hAnsi="Arial"/>
          <w:sz w:val="16"/>
          <w:szCs w:val="16"/>
          <w:i w:val="1"/>
          <w:iCs w:val="1"/>
          <w:color w:val="0E0E0E"/>
        </w:rPr>
        <w:t>FILED 06</w:t>
      </w:r>
      <w:r>
        <w:rPr>
          <w:rFonts w:ascii="Arial" w:cs="Arial" w:eastAsia="Arial" w:hAnsi="Arial"/>
          <w:sz w:val="16"/>
          <w:szCs w:val="16"/>
          <w:i w:val="1"/>
          <w:iCs w:val="1"/>
          <w:color w:val="1D1D1D"/>
        </w:rPr>
        <w:t>:</w:t>
      </w:r>
      <w:r>
        <w:rPr>
          <w:rFonts w:ascii="Arial" w:cs="Arial" w:eastAsia="Arial" w:hAnsi="Arial"/>
          <w:sz w:val="16"/>
          <w:szCs w:val="16"/>
          <w:i w:val="1"/>
          <w:iCs w:val="1"/>
          <w:color w:val="0E0E0E"/>
        </w:rPr>
        <w:t>41 PM11</w:t>
      </w:r>
      <w:r>
        <w:rPr>
          <w:rFonts w:ascii="Arial" w:cs="Arial" w:eastAsia="Arial" w:hAnsi="Arial"/>
          <w:sz w:val="16"/>
          <w:szCs w:val="16"/>
          <w:i w:val="1"/>
          <w:iCs w:val="1"/>
          <w:color w:val="1D1D1D"/>
        </w:rPr>
        <w:t>/17/</w:t>
      </w:r>
      <w:r>
        <w:rPr>
          <w:rFonts w:ascii="Arial" w:cs="Arial" w:eastAsia="Arial" w:hAnsi="Arial"/>
          <w:sz w:val="16"/>
          <w:szCs w:val="16"/>
          <w:i w:val="1"/>
          <w:iCs w:val="1"/>
          <w:color w:val="0E0E0E"/>
        </w:rPr>
        <w:t>2</w:t>
      </w:r>
      <w:r>
        <w:rPr>
          <w:rFonts w:ascii="Arial" w:cs="Arial" w:eastAsia="Arial" w:hAnsi="Arial"/>
          <w:sz w:val="16"/>
          <w:szCs w:val="16"/>
          <w:i w:val="1"/>
          <w:iCs w:val="1"/>
          <w:color w:val="1D1D1D"/>
        </w:rPr>
        <w:t>0</w:t>
      </w:r>
      <w:r>
        <w:rPr>
          <w:rFonts w:ascii="Arial" w:cs="Arial" w:eastAsia="Arial" w:hAnsi="Arial"/>
          <w:sz w:val="16"/>
          <w:szCs w:val="16"/>
          <w:i w:val="1"/>
          <w:iCs w:val="1"/>
          <w:color w:val="0E0E0E"/>
        </w:rPr>
        <w:t>1</w:t>
      </w:r>
      <w:r>
        <w:rPr>
          <w:rFonts w:ascii="Arial" w:cs="Arial" w:eastAsia="Arial" w:hAnsi="Arial"/>
          <w:sz w:val="16"/>
          <w:szCs w:val="16"/>
          <w:i w:val="1"/>
          <w:iCs w:val="1"/>
          <w:color w:val="1D1D1D"/>
        </w:rPr>
        <w:t>4</w:t>
      </w:r>
    </w:p>
    <w:p>
      <w:pPr>
        <w:ind w:left="3400"/>
        <w:spacing w:after="0"/>
        <w:rPr>
          <w:sz w:val="20"/>
          <w:szCs w:val="20"/>
          <w:color w:val="auto"/>
        </w:rPr>
      </w:pPr>
      <w:r>
        <w:rPr>
          <w:rFonts w:ascii="Arial" w:cs="Arial" w:eastAsia="Arial" w:hAnsi="Arial"/>
          <w:sz w:val="16"/>
          <w:szCs w:val="16"/>
          <w:i w:val="1"/>
          <w:iCs w:val="1"/>
          <w:color w:val="0E0E0E"/>
        </w:rPr>
        <w:t>SRV14</w:t>
      </w:r>
      <w:r>
        <w:rPr>
          <w:rFonts w:ascii="Arial" w:cs="Arial" w:eastAsia="Arial" w:hAnsi="Arial"/>
          <w:sz w:val="16"/>
          <w:szCs w:val="16"/>
          <w:i w:val="1"/>
          <w:iCs w:val="1"/>
          <w:color w:val="1D1D1D"/>
        </w:rPr>
        <w:t>1</w:t>
      </w:r>
      <w:r>
        <w:rPr>
          <w:rFonts w:ascii="Arial" w:cs="Arial" w:eastAsia="Arial" w:hAnsi="Arial"/>
          <w:sz w:val="16"/>
          <w:szCs w:val="16"/>
          <w:i w:val="1"/>
          <w:iCs w:val="1"/>
          <w:color w:val="0E0E0E"/>
        </w:rPr>
        <w:t>4214</w:t>
      </w:r>
      <w:r>
        <w:rPr>
          <w:rFonts w:ascii="Arial" w:cs="Arial" w:eastAsia="Arial" w:hAnsi="Arial"/>
          <w:sz w:val="16"/>
          <w:szCs w:val="16"/>
          <w:i w:val="1"/>
          <w:iCs w:val="1"/>
          <w:color w:val="1D1D1D"/>
        </w:rPr>
        <w:t>76</w:t>
      </w:r>
      <w:r>
        <w:rPr>
          <w:rFonts w:ascii="Arial" w:cs="Arial" w:eastAsia="Arial" w:hAnsi="Arial"/>
          <w:sz w:val="16"/>
          <w:szCs w:val="16"/>
          <w:i w:val="1"/>
          <w:iCs w:val="1"/>
          <w:color w:val="0E0E0E"/>
        </w:rPr>
        <w:t xml:space="preserve"> - </w:t>
      </w:r>
      <w:r>
        <w:rPr>
          <w:rFonts w:ascii="Arial" w:cs="Arial" w:eastAsia="Arial" w:hAnsi="Arial"/>
          <w:sz w:val="16"/>
          <w:szCs w:val="16"/>
          <w:i w:val="1"/>
          <w:iCs w:val="1"/>
          <w:color w:val="1D1D1D"/>
        </w:rPr>
        <w:t>2</w:t>
      </w:r>
      <w:r>
        <w:rPr>
          <w:rFonts w:ascii="Arial" w:cs="Arial" w:eastAsia="Arial" w:hAnsi="Arial"/>
          <w:sz w:val="16"/>
          <w:szCs w:val="16"/>
          <w:i w:val="1"/>
          <w:iCs w:val="1"/>
          <w:color w:val="0E0E0E"/>
        </w:rPr>
        <w:t>6</w:t>
      </w:r>
      <w:r>
        <w:rPr>
          <w:rFonts w:ascii="Arial" w:cs="Arial" w:eastAsia="Arial" w:hAnsi="Arial"/>
          <w:sz w:val="16"/>
          <w:szCs w:val="16"/>
          <w:i w:val="1"/>
          <w:iCs w:val="1"/>
          <w:color w:val="1D1D1D"/>
        </w:rPr>
        <w:t>14</w:t>
      </w:r>
      <w:r>
        <w:rPr>
          <w:rFonts w:ascii="Arial" w:cs="Arial" w:eastAsia="Arial" w:hAnsi="Arial"/>
          <w:sz w:val="16"/>
          <w:szCs w:val="16"/>
          <w:i w:val="1"/>
          <w:iCs w:val="1"/>
          <w:color w:val="0E0E0E"/>
        </w:rPr>
        <w:t>2</w:t>
      </w:r>
      <w:r>
        <w:rPr>
          <w:rFonts w:ascii="Arial" w:cs="Arial" w:eastAsia="Arial" w:hAnsi="Arial"/>
          <w:sz w:val="16"/>
          <w:szCs w:val="16"/>
          <w:i w:val="1"/>
          <w:iCs w:val="1"/>
          <w:color w:val="1D1D1D"/>
        </w:rPr>
        <w:t>3</w:t>
      </w:r>
      <w:r>
        <w:rPr>
          <w:rFonts w:ascii="Arial" w:cs="Arial" w:eastAsia="Arial" w:hAnsi="Arial"/>
          <w:sz w:val="16"/>
          <w:szCs w:val="16"/>
          <w:i w:val="1"/>
          <w:iCs w:val="1"/>
          <w:color w:val="0E0E0E"/>
        </w:rPr>
        <w:t>0 FILE</w:t>
      </w:r>
    </w:p>
    <w:p>
      <w:pPr>
        <w:spacing w:after="0" w:line="175" w:lineRule="exact"/>
        <w:rPr>
          <w:sz w:val="20"/>
          <w:szCs w:val="20"/>
          <w:color w:val="auto"/>
        </w:rPr>
      </w:pPr>
    </w:p>
    <w:p>
      <w:pPr>
        <w:jc w:val="center"/>
        <w:ind w:left="3400"/>
        <w:spacing w:after="0"/>
        <w:rPr>
          <w:sz w:val="20"/>
          <w:szCs w:val="20"/>
          <w:color w:val="auto"/>
        </w:rPr>
      </w:pPr>
      <w:r>
        <w:rPr>
          <w:rFonts w:ascii="Arial" w:cs="Arial" w:eastAsia="Arial" w:hAnsi="Arial"/>
          <w:sz w:val="20"/>
          <w:szCs w:val="20"/>
          <w:color w:val="0E0E0E"/>
        </w:rPr>
        <w:t>CERTIFICATE OF AMENDMENT T</w:t>
      </w:r>
      <w:r>
        <w:rPr>
          <w:rFonts w:ascii="Arial" w:cs="Arial" w:eastAsia="Arial" w:hAnsi="Arial"/>
          <w:sz w:val="20"/>
          <w:szCs w:val="20"/>
          <w:color w:val="1D1D1D"/>
        </w:rPr>
        <w:t>O</w:t>
      </w:r>
      <w:r>
        <w:rPr>
          <w:rFonts w:ascii="Arial" w:cs="Arial" w:eastAsia="Arial" w:hAnsi="Arial"/>
          <w:sz w:val="20"/>
          <w:szCs w:val="20"/>
          <w:color w:val="0E0E0E"/>
        </w:rPr>
        <w:t xml:space="preserve"> AMENDED AND RESTATED CERT</w:t>
      </w:r>
      <w:r>
        <w:rPr>
          <w:rFonts w:ascii="Arial" w:cs="Arial" w:eastAsia="Arial" w:hAnsi="Arial"/>
          <w:sz w:val="20"/>
          <w:szCs w:val="20"/>
          <w:color w:val="1D1D1D"/>
        </w:rPr>
        <w:t>IFI</w:t>
      </w:r>
      <w:r>
        <w:rPr>
          <w:rFonts w:ascii="Arial" w:cs="Arial" w:eastAsia="Arial" w:hAnsi="Arial"/>
          <w:sz w:val="20"/>
          <w:szCs w:val="20"/>
          <w:color w:val="0E0E0E"/>
        </w:rPr>
        <w:t>CAT</w:t>
      </w:r>
      <w:r>
        <w:rPr>
          <w:rFonts w:ascii="Arial" w:cs="Arial" w:eastAsia="Arial" w:hAnsi="Arial"/>
          <w:sz w:val="20"/>
          <w:szCs w:val="20"/>
          <w:color w:val="1D1D1D"/>
        </w:rPr>
        <w:t>E</w:t>
      </w:r>
      <w:r>
        <w:rPr>
          <w:rFonts w:ascii="Arial" w:cs="Arial" w:eastAsia="Arial" w:hAnsi="Arial"/>
          <w:sz w:val="20"/>
          <w:szCs w:val="20"/>
          <w:color w:val="0E0E0E"/>
        </w:rPr>
        <w:t xml:space="preserve"> OF</w:t>
      </w:r>
    </w:p>
    <w:p>
      <w:pPr>
        <w:spacing w:after="0" w:line="16" w:lineRule="exact"/>
        <w:rPr>
          <w:sz w:val="20"/>
          <w:szCs w:val="20"/>
          <w:color w:val="auto"/>
        </w:rPr>
      </w:pPr>
    </w:p>
    <w:p>
      <w:pPr>
        <w:jc w:val="center"/>
        <w:ind w:left="3420"/>
        <w:spacing w:after="0"/>
        <w:rPr>
          <w:sz w:val="20"/>
          <w:szCs w:val="20"/>
          <w:color w:val="auto"/>
        </w:rPr>
      </w:pPr>
      <w:r>
        <w:rPr>
          <w:rFonts w:ascii="Arial" w:cs="Arial" w:eastAsia="Arial" w:hAnsi="Arial"/>
          <w:sz w:val="20"/>
          <w:szCs w:val="20"/>
          <w:color w:val="0E0E0E"/>
        </w:rPr>
        <w:t>INCORPORA</w:t>
      </w:r>
      <w:r>
        <w:rPr>
          <w:rFonts w:ascii="Arial" w:cs="Arial" w:eastAsia="Arial" w:hAnsi="Arial"/>
          <w:sz w:val="20"/>
          <w:szCs w:val="20"/>
          <w:color w:val="1D1D1D"/>
        </w:rPr>
        <w:t>T</w:t>
      </w:r>
      <w:r>
        <w:rPr>
          <w:rFonts w:ascii="Arial" w:cs="Arial" w:eastAsia="Arial" w:hAnsi="Arial"/>
          <w:sz w:val="20"/>
          <w:szCs w:val="20"/>
          <w:color w:val="0E0E0E"/>
        </w:rPr>
        <w:t>IO</w:t>
      </w:r>
      <w:r>
        <w:rPr>
          <w:rFonts w:ascii="Arial" w:cs="Arial" w:eastAsia="Arial" w:hAnsi="Arial"/>
          <w:sz w:val="20"/>
          <w:szCs w:val="20"/>
          <w:color w:val="1D1D1D"/>
        </w:rPr>
        <w:t>N</w:t>
      </w:r>
    </w:p>
    <w:p>
      <w:pPr>
        <w:spacing w:after="0" w:line="11" w:lineRule="exact"/>
        <w:rPr>
          <w:sz w:val="20"/>
          <w:szCs w:val="20"/>
          <w:color w:val="auto"/>
        </w:rPr>
      </w:pPr>
    </w:p>
    <w:p>
      <w:pPr>
        <w:ind w:left="6080"/>
        <w:spacing w:after="0"/>
        <w:rPr>
          <w:sz w:val="20"/>
          <w:szCs w:val="20"/>
          <w:color w:val="auto"/>
        </w:rPr>
      </w:pPr>
      <w:r>
        <w:rPr>
          <w:rFonts w:ascii="Arial" w:cs="Arial" w:eastAsia="Arial" w:hAnsi="Arial"/>
          <w:sz w:val="20"/>
          <w:szCs w:val="20"/>
          <w:color w:val="0E0E0E"/>
        </w:rPr>
        <w:t>OF</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NOVATEL WIRELESS,INC.</w:t>
      </w:r>
    </w:p>
    <w:p>
      <w:pPr>
        <w:spacing w:after="0" w:line="223" w:lineRule="exact"/>
        <w:rPr>
          <w:sz w:val="20"/>
          <w:szCs w:val="20"/>
          <w:color w:val="auto"/>
        </w:rPr>
      </w:pPr>
    </w:p>
    <w:p>
      <w:pPr>
        <w:ind w:left="860"/>
        <w:spacing w:after="0"/>
        <w:rPr>
          <w:sz w:val="20"/>
          <w:szCs w:val="20"/>
          <w:color w:val="auto"/>
        </w:rPr>
      </w:pPr>
      <w:r>
        <w:rPr>
          <w:rFonts w:ascii="Arial" w:cs="Arial" w:eastAsia="Arial" w:hAnsi="Arial"/>
          <w:sz w:val="18"/>
          <w:szCs w:val="18"/>
          <w:color w:val="1D1D1D"/>
        </w:rPr>
        <w:t>NO</w:t>
      </w:r>
      <w:r>
        <w:rPr>
          <w:rFonts w:ascii="Arial" w:cs="Arial" w:eastAsia="Arial" w:hAnsi="Arial"/>
          <w:sz w:val="18"/>
          <w:szCs w:val="18"/>
          <w:color w:val="0E0E0E"/>
        </w:rPr>
        <w:t>V</w:t>
      </w:r>
      <w:r>
        <w:rPr>
          <w:rFonts w:ascii="Arial" w:cs="Arial" w:eastAsia="Arial" w:hAnsi="Arial"/>
          <w:sz w:val="18"/>
          <w:szCs w:val="18"/>
          <w:color w:val="1D1D1D"/>
        </w:rPr>
        <w:t xml:space="preserve">ATEL WIRELESS, </w:t>
      </w:r>
      <w:r>
        <w:rPr>
          <w:rFonts w:ascii="Arial" w:cs="Arial" w:eastAsia="Arial" w:hAnsi="Arial"/>
          <w:sz w:val="18"/>
          <w:szCs w:val="18"/>
          <w:color w:val="0E0E0E"/>
        </w:rPr>
        <w:t>IN</w:t>
      </w:r>
      <w:r>
        <w:rPr>
          <w:rFonts w:ascii="Arial" w:cs="Arial" w:eastAsia="Arial" w:hAnsi="Arial"/>
          <w:sz w:val="18"/>
          <w:szCs w:val="18"/>
          <w:color w:val="1D1D1D"/>
        </w:rPr>
        <w:t>C.</w:t>
      </w:r>
      <w:r>
        <w:rPr>
          <w:rFonts w:ascii="Arial" w:cs="Arial" w:eastAsia="Arial" w:hAnsi="Arial"/>
          <w:sz w:val="18"/>
          <w:szCs w:val="18"/>
          <w:color w:val="333333"/>
        </w:rPr>
        <w:t>,</w:t>
      </w:r>
      <w:r>
        <w:rPr>
          <w:rFonts w:ascii="Arial" w:cs="Arial" w:eastAsia="Arial" w:hAnsi="Arial"/>
          <w:sz w:val="18"/>
          <w:szCs w:val="18"/>
          <w:color w:val="1D1D1D"/>
        </w:rPr>
        <w:t xml:space="preserve"> </w:t>
      </w:r>
      <w:r>
        <w:rPr>
          <w:rFonts w:ascii="Arial" w:cs="Arial" w:eastAsia="Arial" w:hAnsi="Arial"/>
          <w:sz w:val="18"/>
          <w:szCs w:val="18"/>
          <w:color w:val="0E0E0E"/>
        </w:rPr>
        <w:t>a</w:t>
      </w:r>
      <w:r>
        <w:rPr>
          <w:rFonts w:ascii="Arial" w:cs="Arial" w:eastAsia="Arial" w:hAnsi="Arial"/>
          <w:sz w:val="18"/>
          <w:szCs w:val="18"/>
          <w:color w:val="1D1D1D"/>
        </w:rPr>
        <w:t xml:space="preserve"> co</w:t>
      </w:r>
      <w:r>
        <w:rPr>
          <w:rFonts w:ascii="Arial" w:cs="Arial" w:eastAsia="Arial" w:hAnsi="Arial"/>
          <w:sz w:val="18"/>
          <w:szCs w:val="18"/>
          <w:color w:val="0E0E0E"/>
        </w:rPr>
        <w:t>rp</w:t>
      </w:r>
      <w:r>
        <w:rPr>
          <w:rFonts w:ascii="Arial" w:cs="Arial" w:eastAsia="Arial" w:hAnsi="Arial"/>
          <w:sz w:val="18"/>
          <w:szCs w:val="18"/>
          <w:color w:val="1D1D1D"/>
        </w:rPr>
        <w:t>ora</w:t>
      </w:r>
      <w:r>
        <w:rPr>
          <w:rFonts w:ascii="Arial" w:cs="Arial" w:eastAsia="Arial" w:hAnsi="Arial"/>
          <w:sz w:val="18"/>
          <w:szCs w:val="18"/>
          <w:color w:val="0E0E0E"/>
        </w:rPr>
        <w:t>ti</w:t>
      </w:r>
      <w:r>
        <w:rPr>
          <w:rFonts w:ascii="Arial" w:cs="Arial" w:eastAsia="Arial" w:hAnsi="Arial"/>
          <w:sz w:val="18"/>
          <w:szCs w:val="18"/>
          <w:color w:val="1D1D1D"/>
        </w:rPr>
        <w:t>o</w:t>
      </w:r>
      <w:r>
        <w:rPr>
          <w:rFonts w:ascii="Arial" w:cs="Arial" w:eastAsia="Arial" w:hAnsi="Arial"/>
          <w:sz w:val="18"/>
          <w:szCs w:val="18"/>
          <w:color w:val="0E0E0E"/>
        </w:rPr>
        <w:t>n</w:t>
      </w:r>
      <w:r>
        <w:rPr>
          <w:rFonts w:ascii="Arial" w:cs="Arial" w:eastAsia="Arial" w:hAnsi="Arial"/>
          <w:sz w:val="18"/>
          <w:szCs w:val="18"/>
          <w:color w:val="1D1D1D"/>
        </w:rPr>
        <w:t xml:space="preserve"> o</w:t>
      </w:r>
      <w:r>
        <w:rPr>
          <w:rFonts w:ascii="Arial" w:cs="Arial" w:eastAsia="Arial" w:hAnsi="Arial"/>
          <w:sz w:val="18"/>
          <w:szCs w:val="18"/>
          <w:color w:val="0E0E0E"/>
        </w:rPr>
        <w:t>rg</w:t>
      </w:r>
      <w:r>
        <w:rPr>
          <w:rFonts w:ascii="Arial" w:cs="Arial" w:eastAsia="Arial" w:hAnsi="Arial"/>
          <w:sz w:val="18"/>
          <w:szCs w:val="18"/>
          <w:color w:val="1D1D1D"/>
        </w:rPr>
        <w:t>aniz</w:t>
      </w:r>
      <w:r>
        <w:rPr>
          <w:rFonts w:ascii="Arial" w:cs="Arial" w:eastAsia="Arial" w:hAnsi="Arial"/>
          <w:sz w:val="18"/>
          <w:szCs w:val="18"/>
          <w:color w:val="0E0E0E"/>
        </w:rPr>
        <w:t>ed</w:t>
      </w:r>
      <w:r>
        <w:rPr>
          <w:rFonts w:ascii="Arial" w:cs="Arial" w:eastAsia="Arial" w:hAnsi="Arial"/>
          <w:sz w:val="18"/>
          <w:szCs w:val="18"/>
          <w:color w:val="1D1D1D"/>
        </w:rPr>
        <w:t xml:space="preserve"> a</w:t>
      </w:r>
      <w:r>
        <w:rPr>
          <w:rFonts w:ascii="Arial" w:cs="Arial" w:eastAsia="Arial" w:hAnsi="Arial"/>
          <w:sz w:val="18"/>
          <w:szCs w:val="18"/>
          <w:color w:val="0E0E0E"/>
        </w:rPr>
        <w:t>n</w:t>
      </w:r>
      <w:r>
        <w:rPr>
          <w:rFonts w:ascii="Arial" w:cs="Arial" w:eastAsia="Arial" w:hAnsi="Arial"/>
          <w:sz w:val="18"/>
          <w:szCs w:val="18"/>
          <w:color w:val="1D1D1D"/>
        </w:rPr>
        <w:t>d existi</w:t>
      </w:r>
      <w:r>
        <w:rPr>
          <w:rFonts w:ascii="Arial" w:cs="Arial" w:eastAsia="Arial" w:hAnsi="Arial"/>
          <w:sz w:val="18"/>
          <w:szCs w:val="18"/>
          <w:color w:val="0E0E0E"/>
        </w:rPr>
        <w:t>n</w:t>
      </w:r>
      <w:r>
        <w:rPr>
          <w:rFonts w:ascii="Arial" w:cs="Arial" w:eastAsia="Arial" w:hAnsi="Arial"/>
          <w:sz w:val="18"/>
          <w:szCs w:val="18"/>
          <w:color w:val="1D1D1D"/>
        </w:rPr>
        <w:t>g u</w:t>
      </w:r>
      <w:r>
        <w:rPr>
          <w:rFonts w:ascii="Arial" w:cs="Arial" w:eastAsia="Arial" w:hAnsi="Arial"/>
          <w:sz w:val="18"/>
          <w:szCs w:val="18"/>
          <w:color w:val="0E0E0E"/>
        </w:rPr>
        <w:t>nd</w:t>
      </w:r>
      <w:r>
        <w:rPr>
          <w:rFonts w:ascii="Arial" w:cs="Arial" w:eastAsia="Arial" w:hAnsi="Arial"/>
          <w:sz w:val="18"/>
          <w:szCs w:val="18"/>
          <w:color w:val="1D1D1D"/>
        </w:rPr>
        <w:t>e</w:t>
      </w:r>
      <w:r>
        <w:rPr>
          <w:rFonts w:ascii="Arial" w:cs="Arial" w:eastAsia="Arial" w:hAnsi="Arial"/>
          <w:sz w:val="18"/>
          <w:szCs w:val="18"/>
          <w:color w:val="0E0E0E"/>
        </w:rPr>
        <w:t>r</w:t>
      </w:r>
      <w:r>
        <w:rPr>
          <w:rFonts w:ascii="Arial" w:cs="Arial" w:eastAsia="Arial" w:hAnsi="Arial"/>
          <w:sz w:val="18"/>
          <w:szCs w:val="18"/>
          <w:color w:val="1D1D1D"/>
        </w:rPr>
        <w:t xml:space="preserve"> the General</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1D1D1D"/>
        </w:rPr>
        <w:t>C</w:t>
      </w:r>
      <w:r>
        <w:rPr>
          <w:rFonts w:ascii="Arial" w:cs="Arial" w:eastAsia="Arial" w:hAnsi="Arial"/>
          <w:sz w:val="18"/>
          <w:szCs w:val="18"/>
          <w:color w:val="0E0E0E"/>
        </w:rPr>
        <w:t>orp</w:t>
      </w:r>
      <w:r>
        <w:rPr>
          <w:rFonts w:ascii="Arial" w:cs="Arial" w:eastAsia="Arial" w:hAnsi="Arial"/>
          <w:sz w:val="18"/>
          <w:szCs w:val="18"/>
          <w:color w:val="1D1D1D"/>
        </w:rPr>
        <w:t>ora</w:t>
      </w:r>
      <w:r>
        <w:rPr>
          <w:rFonts w:ascii="Arial" w:cs="Arial" w:eastAsia="Arial" w:hAnsi="Arial"/>
          <w:sz w:val="18"/>
          <w:szCs w:val="18"/>
          <w:color w:val="0E0E0E"/>
        </w:rPr>
        <w:t>ti</w:t>
      </w:r>
      <w:r>
        <w:rPr>
          <w:rFonts w:ascii="Arial" w:cs="Arial" w:eastAsia="Arial" w:hAnsi="Arial"/>
          <w:sz w:val="18"/>
          <w:szCs w:val="18"/>
          <w:color w:val="1D1D1D"/>
        </w:rPr>
        <w:t>o</w:t>
      </w:r>
      <w:r>
        <w:rPr>
          <w:rFonts w:ascii="Arial" w:cs="Arial" w:eastAsia="Arial" w:hAnsi="Arial"/>
          <w:sz w:val="18"/>
          <w:szCs w:val="18"/>
          <w:color w:val="0E0E0E"/>
        </w:rPr>
        <w:t>n</w:t>
      </w:r>
      <w:r>
        <w:rPr>
          <w:rFonts w:ascii="Arial" w:cs="Arial" w:eastAsia="Arial" w:hAnsi="Arial"/>
          <w:sz w:val="18"/>
          <w:szCs w:val="18"/>
          <w:color w:val="1D1D1D"/>
        </w:rPr>
        <w:t xml:space="preserve"> L</w:t>
      </w:r>
      <w:r>
        <w:rPr>
          <w:rFonts w:ascii="Arial" w:cs="Arial" w:eastAsia="Arial" w:hAnsi="Arial"/>
          <w:sz w:val="18"/>
          <w:szCs w:val="18"/>
          <w:color w:val="0E0E0E"/>
        </w:rPr>
        <w:t>aw</w:t>
      </w:r>
      <w:r>
        <w:rPr>
          <w:rFonts w:ascii="Arial" w:cs="Arial" w:eastAsia="Arial" w:hAnsi="Arial"/>
          <w:sz w:val="18"/>
          <w:szCs w:val="18"/>
          <w:color w:val="1D1D1D"/>
        </w:rPr>
        <w:t xml:space="preserve"> o</w:t>
      </w:r>
      <w:r>
        <w:rPr>
          <w:rFonts w:ascii="Arial" w:cs="Arial" w:eastAsia="Arial" w:hAnsi="Arial"/>
          <w:sz w:val="18"/>
          <w:szCs w:val="18"/>
          <w:color w:val="0E0E0E"/>
        </w:rPr>
        <w:t>f th</w:t>
      </w:r>
      <w:r>
        <w:rPr>
          <w:rFonts w:ascii="Arial" w:cs="Arial" w:eastAsia="Arial" w:hAnsi="Arial"/>
          <w:sz w:val="18"/>
          <w:szCs w:val="18"/>
          <w:color w:val="1D1D1D"/>
        </w:rPr>
        <w:t>e Sta</w:t>
      </w:r>
      <w:r>
        <w:rPr>
          <w:rFonts w:ascii="Arial" w:cs="Arial" w:eastAsia="Arial" w:hAnsi="Arial"/>
          <w:sz w:val="18"/>
          <w:szCs w:val="18"/>
          <w:color w:val="0E0E0E"/>
        </w:rPr>
        <w:t>t</w:t>
      </w:r>
      <w:r>
        <w:rPr>
          <w:rFonts w:ascii="Arial" w:cs="Arial" w:eastAsia="Arial" w:hAnsi="Arial"/>
          <w:sz w:val="18"/>
          <w:szCs w:val="18"/>
          <w:color w:val="1D1D1D"/>
        </w:rPr>
        <w:t>e of De</w:t>
      </w:r>
      <w:r>
        <w:rPr>
          <w:rFonts w:ascii="Arial" w:cs="Arial" w:eastAsia="Arial" w:hAnsi="Arial"/>
          <w:sz w:val="18"/>
          <w:szCs w:val="18"/>
          <w:color w:val="0E0E0E"/>
        </w:rPr>
        <w:t>l</w:t>
      </w:r>
      <w:r>
        <w:rPr>
          <w:rFonts w:ascii="Arial" w:cs="Arial" w:eastAsia="Arial" w:hAnsi="Arial"/>
          <w:sz w:val="18"/>
          <w:szCs w:val="18"/>
          <w:color w:val="1D1D1D"/>
        </w:rPr>
        <w:t>a</w:t>
      </w:r>
      <w:r>
        <w:rPr>
          <w:rFonts w:ascii="Arial" w:cs="Arial" w:eastAsia="Arial" w:hAnsi="Arial"/>
          <w:sz w:val="18"/>
          <w:szCs w:val="18"/>
          <w:color w:val="0E0E0E"/>
        </w:rPr>
        <w:t>w</w:t>
      </w:r>
      <w:r>
        <w:rPr>
          <w:rFonts w:ascii="Arial" w:cs="Arial" w:eastAsia="Arial" w:hAnsi="Arial"/>
          <w:sz w:val="18"/>
          <w:szCs w:val="18"/>
          <w:color w:val="1D1D1D"/>
        </w:rPr>
        <w:t>a</w:t>
      </w:r>
      <w:r>
        <w:rPr>
          <w:rFonts w:ascii="Arial" w:cs="Arial" w:eastAsia="Arial" w:hAnsi="Arial"/>
          <w:sz w:val="18"/>
          <w:szCs w:val="18"/>
          <w:color w:val="0E0E0E"/>
        </w:rPr>
        <w:t>r</w:t>
      </w:r>
      <w:r>
        <w:rPr>
          <w:rFonts w:ascii="Arial" w:cs="Arial" w:eastAsia="Arial" w:hAnsi="Arial"/>
          <w:sz w:val="18"/>
          <w:szCs w:val="18"/>
          <w:color w:val="1D1D1D"/>
        </w:rPr>
        <w:t xml:space="preserve">e </w:t>
      </w:r>
      <w:r>
        <w:rPr>
          <w:rFonts w:ascii="Arial" w:cs="Arial" w:eastAsia="Arial" w:hAnsi="Arial"/>
          <w:sz w:val="18"/>
          <w:szCs w:val="18"/>
          <w:color w:val="0E0E0E"/>
        </w:rPr>
        <w:t>(the "</w:t>
      </w:r>
      <w:r>
        <w:rPr>
          <w:rFonts w:ascii="Arial" w:cs="Arial" w:eastAsia="Arial" w:hAnsi="Arial"/>
          <w:sz w:val="18"/>
          <w:szCs w:val="18"/>
          <w:color w:val="1D1D1D"/>
        </w:rPr>
        <w:t>Co</w:t>
      </w:r>
      <w:r>
        <w:rPr>
          <w:rFonts w:ascii="Arial" w:cs="Arial" w:eastAsia="Arial" w:hAnsi="Arial"/>
          <w:sz w:val="18"/>
          <w:szCs w:val="18"/>
          <w:color w:val="0E0E0E"/>
        </w:rPr>
        <w:t>rp</w:t>
      </w:r>
      <w:r>
        <w:rPr>
          <w:rFonts w:ascii="Arial" w:cs="Arial" w:eastAsia="Arial" w:hAnsi="Arial"/>
          <w:sz w:val="18"/>
          <w:szCs w:val="18"/>
          <w:color w:val="1D1D1D"/>
        </w:rPr>
        <w:t>o</w:t>
      </w:r>
      <w:r>
        <w:rPr>
          <w:rFonts w:ascii="Arial" w:cs="Arial" w:eastAsia="Arial" w:hAnsi="Arial"/>
          <w:sz w:val="18"/>
          <w:szCs w:val="18"/>
          <w:color w:val="0E0E0E"/>
        </w:rPr>
        <w:t>rati</w:t>
      </w:r>
      <w:r>
        <w:rPr>
          <w:rFonts w:ascii="Arial" w:cs="Arial" w:eastAsia="Arial" w:hAnsi="Arial"/>
          <w:sz w:val="18"/>
          <w:szCs w:val="18"/>
          <w:color w:val="1D1D1D"/>
        </w:rPr>
        <w:t>o</w:t>
      </w:r>
      <w:r>
        <w:rPr>
          <w:rFonts w:ascii="Arial" w:cs="Arial" w:eastAsia="Arial" w:hAnsi="Arial"/>
          <w:sz w:val="18"/>
          <w:szCs w:val="18"/>
          <w:color w:val="0E0E0E"/>
        </w:rPr>
        <w:t>n</w:t>
      </w:r>
      <w:r>
        <w:rPr>
          <w:rFonts w:ascii="Arial" w:cs="Arial" w:eastAsia="Arial" w:hAnsi="Arial"/>
          <w:sz w:val="18"/>
          <w:szCs w:val="18"/>
          <w:color w:val="1D1D1D"/>
        </w:rPr>
        <w:t>"</w:t>
      </w:r>
      <w:r>
        <w:rPr>
          <w:rFonts w:ascii="Arial" w:cs="Arial" w:eastAsia="Arial" w:hAnsi="Arial"/>
          <w:sz w:val="18"/>
          <w:szCs w:val="18"/>
          <w:color w:val="0E0E0E"/>
        </w:rPr>
        <w:t>)</w:t>
      </w:r>
      <w:r>
        <w:rPr>
          <w:rFonts w:ascii="Arial" w:cs="Arial" w:eastAsia="Arial" w:hAnsi="Arial"/>
          <w:sz w:val="18"/>
          <w:szCs w:val="18"/>
          <w:color w:val="1D1D1D"/>
        </w:rPr>
        <w:t xml:space="preserve">, </w:t>
      </w:r>
      <w:r>
        <w:rPr>
          <w:rFonts w:ascii="Arial" w:cs="Arial" w:eastAsia="Arial" w:hAnsi="Arial"/>
          <w:sz w:val="18"/>
          <w:szCs w:val="18"/>
          <w:color w:val="0E0E0E"/>
        </w:rPr>
        <w:t>d</w:t>
      </w:r>
      <w:r>
        <w:rPr>
          <w:rFonts w:ascii="Arial" w:cs="Arial" w:eastAsia="Arial" w:hAnsi="Arial"/>
          <w:sz w:val="18"/>
          <w:szCs w:val="18"/>
          <w:color w:val="1D1D1D"/>
        </w:rPr>
        <w:t xml:space="preserve">oes </w:t>
      </w:r>
      <w:r>
        <w:rPr>
          <w:rFonts w:ascii="Arial" w:cs="Arial" w:eastAsia="Arial" w:hAnsi="Arial"/>
          <w:sz w:val="18"/>
          <w:szCs w:val="18"/>
          <w:color w:val="0E0E0E"/>
        </w:rPr>
        <w:t>h</w:t>
      </w:r>
      <w:r>
        <w:rPr>
          <w:rFonts w:ascii="Arial" w:cs="Arial" w:eastAsia="Arial" w:hAnsi="Arial"/>
          <w:sz w:val="18"/>
          <w:szCs w:val="18"/>
          <w:color w:val="1D1D1D"/>
        </w:rPr>
        <w:t xml:space="preserve">ereby </w:t>
      </w:r>
      <w:r>
        <w:rPr>
          <w:rFonts w:ascii="Arial" w:cs="Arial" w:eastAsia="Arial" w:hAnsi="Arial"/>
          <w:sz w:val="18"/>
          <w:szCs w:val="18"/>
          <w:color w:val="0E0E0E"/>
        </w:rPr>
        <w:t>ce</w:t>
      </w:r>
      <w:r>
        <w:rPr>
          <w:rFonts w:ascii="Arial" w:cs="Arial" w:eastAsia="Arial" w:hAnsi="Arial"/>
          <w:sz w:val="18"/>
          <w:szCs w:val="18"/>
          <w:color w:val="1D1D1D"/>
        </w:rPr>
        <w:t>rt</w:t>
      </w:r>
      <w:r>
        <w:rPr>
          <w:rFonts w:ascii="Arial" w:cs="Arial" w:eastAsia="Arial" w:hAnsi="Arial"/>
          <w:sz w:val="18"/>
          <w:szCs w:val="18"/>
          <w:color w:val="0E0E0E"/>
        </w:rPr>
        <w:t>i</w:t>
      </w:r>
      <w:r>
        <w:rPr>
          <w:rFonts w:ascii="Arial" w:cs="Arial" w:eastAsia="Arial" w:hAnsi="Arial"/>
          <w:sz w:val="18"/>
          <w:szCs w:val="18"/>
          <w:color w:val="1D1D1D"/>
        </w:rPr>
        <w:t>fy as fo</w:t>
      </w:r>
      <w:r>
        <w:rPr>
          <w:rFonts w:ascii="Arial" w:cs="Arial" w:eastAsia="Arial" w:hAnsi="Arial"/>
          <w:sz w:val="18"/>
          <w:szCs w:val="18"/>
          <w:color w:val="0E0E0E"/>
        </w:rPr>
        <w:t>ll</w:t>
      </w:r>
      <w:r>
        <w:rPr>
          <w:rFonts w:ascii="Arial" w:cs="Arial" w:eastAsia="Arial" w:hAnsi="Arial"/>
          <w:sz w:val="18"/>
          <w:szCs w:val="18"/>
          <w:color w:val="1D1D1D"/>
        </w:rPr>
        <w:t>ows:</w:t>
      </w:r>
    </w:p>
    <w:p>
      <w:pPr>
        <w:spacing w:after="0" w:line="238" w:lineRule="exact"/>
        <w:rPr>
          <w:sz w:val="20"/>
          <w:szCs w:val="20"/>
          <w:color w:val="auto"/>
        </w:rPr>
      </w:pPr>
    </w:p>
    <w:p>
      <w:pPr>
        <w:ind w:left="780" w:hanging="189"/>
        <w:spacing w:after="0"/>
        <w:tabs>
          <w:tab w:leader="none" w:pos="780" w:val="left"/>
        </w:tabs>
        <w:numPr>
          <w:ilvl w:val="0"/>
          <w:numId w:val="31"/>
        </w:numPr>
        <w:rPr>
          <w:rFonts w:ascii="Arial" w:cs="Arial" w:eastAsia="Arial" w:hAnsi="Arial"/>
          <w:sz w:val="18"/>
          <w:szCs w:val="18"/>
          <w:color w:val="0E0E0E"/>
        </w:rPr>
      </w:pPr>
      <w:r>
        <w:rPr>
          <w:rFonts w:ascii="Arial" w:cs="Arial" w:eastAsia="Arial" w:hAnsi="Arial"/>
          <w:sz w:val="18"/>
          <w:szCs w:val="18"/>
          <w:color w:val="1D1D1D"/>
        </w:rPr>
        <w:t>T</w:t>
      </w:r>
      <w:r>
        <w:rPr>
          <w:rFonts w:ascii="Arial" w:cs="Arial" w:eastAsia="Arial" w:hAnsi="Arial"/>
          <w:sz w:val="18"/>
          <w:szCs w:val="18"/>
          <w:color w:val="0E0E0E"/>
        </w:rPr>
        <w:t>h</w:t>
      </w:r>
      <w:r>
        <w:rPr>
          <w:rFonts w:ascii="Arial" w:cs="Arial" w:eastAsia="Arial" w:hAnsi="Arial"/>
          <w:sz w:val="18"/>
          <w:szCs w:val="18"/>
          <w:color w:val="1D1D1D"/>
        </w:rPr>
        <w:t>e na</w:t>
      </w:r>
      <w:r>
        <w:rPr>
          <w:rFonts w:ascii="Arial" w:cs="Arial" w:eastAsia="Arial" w:hAnsi="Arial"/>
          <w:sz w:val="18"/>
          <w:szCs w:val="18"/>
          <w:color w:val="0E0E0E"/>
        </w:rPr>
        <w:t>m</w:t>
      </w:r>
      <w:r>
        <w:rPr>
          <w:rFonts w:ascii="Arial" w:cs="Arial" w:eastAsia="Arial" w:hAnsi="Arial"/>
          <w:sz w:val="18"/>
          <w:szCs w:val="18"/>
          <w:color w:val="1D1D1D"/>
        </w:rPr>
        <w:t xml:space="preserve">e </w:t>
      </w:r>
      <w:r>
        <w:rPr>
          <w:rFonts w:ascii="Arial" w:cs="Arial" w:eastAsia="Arial" w:hAnsi="Arial"/>
          <w:sz w:val="18"/>
          <w:szCs w:val="18"/>
          <w:color w:val="0E0E0E"/>
        </w:rPr>
        <w:t>of the</w:t>
      </w:r>
      <w:r>
        <w:rPr>
          <w:rFonts w:ascii="Arial" w:cs="Arial" w:eastAsia="Arial" w:hAnsi="Arial"/>
          <w:sz w:val="18"/>
          <w:szCs w:val="18"/>
          <w:color w:val="1D1D1D"/>
        </w:rPr>
        <w:t xml:space="preserve"> Co</w:t>
      </w:r>
      <w:r>
        <w:rPr>
          <w:rFonts w:ascii="Arial" w:cs="Arial" w:eastAsia="Arial" w:hAnsi="Arial"/>
          <w:sz w:val="18"/>
          <w:szCs w:val="18"/>
          <w:color w:val="0E0E0E"/>
        </w:rPr>
        <w:t>rpora</w:t>
      </w:r>
      <w:r>
        <w:rPr>
          <w:rFonts w:ascii="Arial" w:cs="Arial" w:eastAsia="Arial" w:hAnsi="Arial"/>
          <w:sz w:val="18"/>
          <w:szCs w:val="18"/>
          <w:color w:val="1D1D1D"/>
        </w:rPr>
        <w:t>tio</w:t>
      </w:r>
      <w:r>
        <w:rPr>
          <w:rFonts w:ascii="Arial" w:cs="Arial" w:eastAsia="Arial" w:hAnsi="Arial"/>
          <w:sz w:val="18"/>
          <w:szCs w:val="18"/>
          <w:color w:val="0E0E0E"/>
        </w:rPr>
        <w:t>n i</w:t>
      </w:r>
      <w:r>
        <w:rPr>
          <w:rFonts w:ascii="Arial" w:cs="Arial" w:eastAsia="Arial" w:hAnsi="Arial"/>
          <w:sz w:val="18"/>
          <w:szCs w:val="18"/>
          <w:color w:val="1D1D1D"/>
        </w:rPr>
        <w:t xml:space="preserve">s </w:t>
      </w:r>
      <w:r>
        <w:rPr>
          <w:rFonts w:ascii="Arial" w:cs="Arial" w:eastAsia="Arial" w:hAnsi="Arial"/>
          <w:sz w:val="18"/>
          <w:szCs w:val="18"/>
          <w:color w:val="0E0E0E"/>
        </w:rPr>
        <w:t>N</w:t>
      </w:r>
      <w:r>
        <w:rPr>
          <w:rFonts w:ascii="Arial" w:cs="Arial" w:eastAsia="Arial" w:hAnsi="Arial"/>
          <w:sz w:val="18"/>
          <w:szCs w:val="18"/>
          <w:color w:val="1D1D1D"/>
        </w:rPr>
        <w:t>o</w:t>
      </w:r>
      <w:r>
        <w:rPr>
          <w:rFonts w:ascii="Arial" w:cs="Arial" w:eastAsia="Arial" w:hAnsi="Arial"/>
          <w:sz w:val="18"/>
          <w:szCs w:val="18"/>
          <w:color w:val="0E0E0E"/>
        </w:rPr>
        <w:t>va t</w:t>
      </w:r>
      <w:r>
        <w:rPr>
          <w:rFonts w:ascii="Arial" w:cs="Arial" w:eastAsia="Arial" w:hAnsi="Arial"/>
          <w:sz w:val="18"/>
          <w:szCs w:val="18"/>
          <w:color w:val="1D1D1D"/>
        </w:rPr>
        <w:t>e</w:t>
      </w:r>
      <w:r>
        <w:rPr>
          <w:rFonts w:ascii="Arial" w:cs="Arial" w:eastAsia="Arial" w:hAnsi="Arial"/>
          <w:sz w:val="18"/>
          <w:szCs w:val="18"/>
          <w:color w:val="0E0E0E"/>
        </w:rPr>
        <w:t>l W</w:t>
      </w:r>
      <w:r>
        <w:rPr>
          <w:rFonts w:ascii="Arial" w:cs="Arial" w:eastAsia="Arial" w:hAnsi="Arial"/>
          <w:sz w:val="18"/>
          <w:szCs w:val="18"/>
          <w:color w:val="1D1D1D"/>
        </w:rPr>
        <w:t>ire</w:t>
      </w:r>
      <w:r>
        <w:rPr>
          <w:rFonts w:ascii="Arial" w:cs="Arial" w:eastAsia="Arial" w:hAnsi="Arial"/>
          <w:sz w:val="18"/>
          <w:szCs w:val="18"/>
          <w:color w:val="0E0E0E"/>
        </w:rPr>
        <w:t>l</w:t>
      </w:r>
      <w:r>
        <w:rPr>
          <w:rFonts w:ascii="Arial" w:cs="Arial" w:eastAsia="Arial" w:hAnsi="Arial"/>
          <w:sz w:val="18"/>
          <w:szCs w:val="18"/>
          <w:color w:val="1D1D1D"/>
        </w:rPr>
        <w:t>e</w:t>
      </w:r>
      <w:r>
        <w:rPr>
          <w:rFonts w:ascii="Arial" w:cs="Arial" w:eastAsia="Arial" w:hAnsi="Arial"/>
          <w:sz w:val="18"/>
          <w:szCs w:val="18"/>
          <w:color w:val="0E0E0E"/>
        </w:rPr>
        <w:t>s</w:t>
      </w:r>
      <w:r>
        <w:rPr>
          <w:rFonts w:ascii="Arial" w:cs="Arial" w:eastAsia="Arial" w:hAnsi="Arial"/>
          <w:sz w:val="18"/>
          <w:szCs w:val="18"/>
          <w:color w:val="1D1D1D"/>
        </w:rPr>
        <w:t xml:space="preserve">s, </w:t>
      </w:r>
      <w:r>
        <w:rPr>
          <w:rFonts w:ascii="Arial" w:cs="Arial" w:eastAsia="Arial" w:hAnsi="Arial"/>
          <w:sz w:val="18"/>
          <w:szCs w:val="18"/>
          <w:color w:val="0E0E0E"/>
        </w:rPr>
        <w:t>In</w:t>
      </w:r>
      <w:r>
        <w:rPr>
          <w:rFonts w:ascii="Arial" w:cs="Arial" w:eastAsia="Arial" w:hAnsi="Arial"/>
          <w:sz w:val="18"/>
          <w:szCs w:val="18"/>
          <w:color w:val="1D1D1D"/>
        </w:rPr>
        <w:t>c</w:t>
      </w:r>
      <w:r>
        <w:rPr>
          <w:rFonts w:ascii="Arial" w:cs="Arial" w:eastAsia="Arial" w:hAnsi="Arial"/>
          <w:sz w:val="18"/>
          <w:szCs w:val="18"/>
          <w:color w:val="333333"/>
        </w:rPr>
        <w:t>.</w:t>
      </w:r>
    </w:p>
    <w:p>
      <w:pPr>
        <w:spacing w:after="0" w:line="252" w:lineRule="exact"/>
        <w:rPr>
          <w:sz w:val="20"/>
          <w:szCs w:val="20"/>
          <w:color w:val="auto"/>
        </w:rPr>
      </w:pPr>
    </w:p>
    <w:p>
      <w:pPr>
        <w:ind w:left="860" w:right="520" w:hanging="296"/>
        <w:spacing w:after="0" w:line="309" w:lineRule="auto"/>
        <w:rPr>
          <w:sz w:val="20"/>
          <w:szCs w:val="20"/>
          <w:color w:val="auto"/>
        </w:rPr>
      </w:pPr>
      <w:r>
        <w:rPr>
          <w:rFonts w:ascii="Arial" w:cs="Arial" w:eastAsia="Arial" w:hAnsi="Arial"/>
          <w:sz w:val="18"/>
          <w:szCs w:val="18"/>
          <w:color w:val="0E0E0E"/>
        </w:rPr>
        <w:t>2</w:t>
      </w:r>
      <w:r>
        <w:rPr>
          <w:rFonts w:ascii="Arial" w:cs="Arial" w:eastAsia="Arial" w:hAnsi="Arial"/>
          <w:sz w:val="18"/>
          <w:szCs w:val="18"/>
          <w:color w:val="333333"/>
        </w:rPr>
        <w:t>.</w:t>
      </w:r>
      <w:r>
        <w:rPr>
          <w:rFonts w:ascii="Arial" w:cs="Arial" w:eastAsia="Arial" w:hAnsi="Arial"/>
          <w:sz w:val="18"/>
          <w:szCs w:val="18"/>
          <w:color w:val="0E0E0E"/>
        </w:rPr>
        <w:t xml:space="preserve"> </w:t>
      </w:r>
      <w:r>
        <w:rPr>
          <w:rFonts w:ascii="Arial" w:cs="Arial" w:eastAsia="Arial" w:hAnsi="Arial"/>
          <w:sz w:val="18"/>
          <w:szCs w:val="18"/>
          <w:color w:val="1D1D1D"/>
        </w:rPr>
        <w:t>T</w:t>
      </w:r>
      <w:r>
        <w:rPr>
          <w:rFonts w:ascii="Arial" w:cs="Arial" w:eastAsia="Arial" w:hAnsi="Arial"/>
          <w:sz w:val="18"/>
          <w:szCs w:val="18"/>
          <w:color w:val="0E0E0E"/>
        </w:rPr>
        <w:t>h</w:t>
      </w:r>
      <w:r>
        <w:rPr>
          <w:rFonts w:ascii="Arial" w:cs="Arial" w:eastAsia="Arial" w:hAnsi="Arial"/>
          <w:sz w:val="18"/>
          <w:szCs w:val="18"/>
          <w:color w:val="1D1D1D"/>
        </w:rPr>
        <w:t>e date on w</w:t>
      </w:r>
      <w:r>
        <w:rPr>
          <w:rFonts w:ascii="Arial" w:cs="Arial" w:eastAsia="Arial" w:hAnsi="Arial"/>
          <w:sz w:val="18"/>
          <w:szCs w:val="18"/>
          <w:color w:val="0E0E0E"/>
        </w:rPr>
        <w:t>hi</w:t>
      </w:r>
      <w:r>
        <w:rPr>
          <w:rFonts w:ascii="Arial" w:cs="Arial" w:eastAsia="Arial" w:hAnsi="Arial"/>
          <w:sz w:val="18"/>
          <w:szCs w:val="18"/>
          <w:color w:val="1D1D1D"/>
        </w:rPr>
        <w:t>c</w:t>
      </w:r>
      <w:r>
        <w:rPr>
          <w:rFonts w:ascii="Arial" w:cs="Arial" w:eastAsia="Arial" w:hAnsi="Arial"/>
          <w:sz w:val="18"/>
          <w:szCs w:val="18"/>
          <w:color w:val="0E0E0E"/>
        </w:rPr>
        <w:t>h th</w:t>
      </w:r>
      <w:r>
        <w:rPr>
          <w:rFonts w:ascii="Arial" w:cs="Arial" w:eastAsia="Arial" w:hAnsi="Arial"/>
          <w:sz w:val="18"/>
          <w:szCs w:val="18"/>
          <w:color w:val="1D1D1D"/>
        </w:rPr>
        <w:t>e Cor</w:t>
      </w:r>
      <w:r>
        <w:rPr>
          <w:rFonts w:ascii="Arial" w:cs="Arial" w:eastAsia="Arial" w:hAnsi="Arial"/>
          <w:sz w:val="18"/>
          <w:szCs w:val="18"/>
          <w:color w:val="0E0E0E"/>
        </w:rPr>
        <w:t>p</w:t>
      </w:r>
      <w:r>
        <w:rPr>
          <w:rFonts w:ascii="Arial" w:cs="Arial" w:eastAsia="Arial" w:hAnsi="Arial"/>
          <w:sz w:val="18"/>
          <w:szCs w:val="18"/>
          <w:color w:val="1D1D1D"/>
        </w:rPr>
        <w:t>o</w:t>
      </w:r>
      <w:r>
        <w:rPr>
          <w:rFonts w:ascii="Arial" w:cs="Arial" w:eastAsia="Arial" w:hAnsi="Arial"/>
          <w:sz w:val="18"/>
          <w:szCs w:val="18"/>
          <w:color w:val="0E0E0E"/>
        </w:rPr>
        <w:t>ra</w:t>
      </w:r>
      <w:r>
        <w:rPr>
          <w:rFonts w:ascii="Arial" w:cs="Arial" w:eastAsia="Arial" w:hAnsi="Arial"/>
          <w:sz w:val="18"/>
          <w:szCs w:val="18"/>
          <w:color w:val="1D1D1D"/>
        </w:rPr>
        <w:t>tio</w:t>
      </w:r>
      <w:r>
        <w:rPr>
          <w:rFonts w:ascii="Arial" w:cs="Arial" w:eastAsia="Arial" w:hAnsi="Arial"/>
          <w:sz w:val="18"/>
          <w:szCs w:val="18"/>
          <w:color w:val="0E0E0E"/>
        </w:rPr>
        <w:t>n</w:t>
      </w:r>
      <w:r>
        <w:rPr>
          <w:rFonts w:ascii="Arial" w:cs="Arial" w:eastAsia="Arial" w:hAnsi="Arial"/>
          <w:sz w:val="18"/>
          <w:szCs w:val="18"/>
          <w:color w:val="1D1D1D"/>
        </w:rPr>
        <w:t>'s o</w:t>
      </w:r>
      <w:r>
        <w:rPr>
          <w:rFonts w:ascii="Arial" w:cs="Arial" w:eastAsia="Arial" w:hAnsi="Arial"/>
          <w:sz w:val="18"/>
          <w:szCs w:val="18"/>
          <w:color w:val="0E0E0E"/>
        </w:rPr>
        <w:t>ri</w:t>
      </w:r>
      <w:r>
        <w:rPr>
          <w:rFonts w:ascii="Arial" w:cs="Arial" w:eastAsia="Arial" w:hAnsi="Arial"/>
          <w:sz w:val="18"/>
          <w:szCs w:val="18"/>
          <w:color w:val="1D1D1D"/>
        </w:rPr>
        <w:t>g</w:t>
      </w:r>
      <w:r>
        <w:rPr>
          <w:rFonts w:ascii="Arial" w:cs="Arial" w:eastAsia="Arial" w:hAnsi="Arial"/>
          <w:sz w:val="18"/>
          <w:szCs w:val="18"/>
          <w:color w:val="0E0E0E"/>
        </w:rPr>
        <w:t>i</w:t>
      </w:r>
      <w:r>
        <w:rPr>
          <w:rFonts w:ascii="Arial" w:cs="Arial" w:eastAsia="Arial" w:hAnsi="Arial"/>
          <w:sz w:val="18"/>
          <w:szCs w:val="18"/>
          <w:color w:val="1D1D1D"/>
        </w:rPr>
        <w:t>na</w:t>
      </w:r>
      <w:r>
        <w:rPr>
          <w:rFonts w:ascii="Arial" w:cs="Arial" w:eastAsia="Arial" w:hAnsi="Arial"/>
          <w:sz w:val="18"/>
          <w:szCs w:val="18"/>
          <w:color w:val="0E0E0E"/>
        </w:rPr>
        <w:t xml:space="preserve">l </w:t>
      </w:r>
      <w:r>
        <w:rPr>
          <w:rFonts w:ascii="Arial" w:cs="Arial" w:eastAsia="Arial" w:hAnsi="Arial"/>
          <w:sz w:val="18"/>
          <w:szCs w:val="18"/>
          <w:color w:val="1D1D1D"/>
        </w:rPr>
        <w:t>Certifica</w:t>
      </w:r>
      <w:r>
        <w:rPr>
          <w:rFonts w:ascii="Arial" w:cs="Arial" w:eastAsia="Arial" w:hAnsi="Arial"/>
          <w:sz w:val="18"/>
          <w:szCs w:val="18"/>
          <w:color w:val="0E0E0E"/>
        </w:rPr>
        <w:t>t</w:t>
      </w:r>
      <w:r>
        <w:rPr>
          <w:rFonts w:ascii="Arial" w:cs="Arial" w:eastAsia="Arial" w:hAnsi="Arial"/>
          <w:sz w:val="18"/>
          <w:szCs w:val="18"/>
          <w:color w:val="1D1D1D"/>
        </w:rPr>
        <w:t>e of I</w:t>
      </w:r>
      <w:r>
        <w:rPr>
          <w:rFonts w:ascii="Arial" w:cs="Arial" w:eastAsia="Arial" w:hAnsi="Arial"/>
          <w:sz w:val="18"/>
          <w:szCs w:val="18"/>
          <w:color w:val="0E0E0E"/>
        </w:rPr>
        <w:t>n</w:t>
      </w:r>
      <w:r>
        <w:rPr>
          <w:rFonts w:ascii="Arial" w:cs="Arial" w:eastAsia="Arial" w:hAnsi="Arial"/>
          <w:sz w:val="18"/>
          <w:szCs w:val="18"/>
          <w:color w:val="1D1D1D"/>
        </w:rPr>
        <w:t>corporatio</w:t>
      </w:r>
      <w:r>
        <w:rPr>
          <w:rFonts w:ascii="Arial" w:cs="Arial" w:eastAsia="Arial" w:hAnsi="Arial"/>
          <w:sz w:val="18"/>
          <w:szCs w:val="18"/>
          <w:color w:val="0E0E0E"/>
        </w:rPr>
        <w:t xml:space="preserve">n </w:t>
      </w:r>
      <w:r>
        <w:rPr>
          <w:rFonts w:ascii="Arial" w:cs="Arial" w:eastAsia="Arial" w:hAnsi="Arial"/>
          <w:sz w:val="18"/>
          <w:szCs w:val="18"/>
          <w:color w:val="1D1D1D"/>
        </w:rPr>
        <w:t>was file</w:t>
      </w:r>
      <w:r>
        <w:rPr>
          <w:rFonts w:ascii="Arial" w:cs="Arial" w:eastAsia="Arial" w:hAnsi="Arial"/>
          <w:sz w:val="18"/>
          <w:szCs w:val="18"/>
          <w:color w:val="0E0E0E"/>
        </w:rPr>
        <w:t>d with th</w:t>
      </w:r>
      <w:r>
        <w:rPr>
          <w:rFonts w:ascii="Arial" w:cs="Arial" w:eastAsia="Arial" w:hAnsi="Arial"/>
          <w:sz w:val="18"/>
          <w:szCs w:val="18"/>
          <w:color w:val="1D1D1D"/>
        </w:rPr>
        <w:t>e Sec</w:t>
      </w:r>
      <w:r>
        <w:rPr>
          <w:rFonts w:ascii="Arial" w:cs="Arial" w:eastAsia="Arial" w:hAnsi="Arial"/>
          <w:sz w:val="18"/>
          <w:szCs w:val="18"/>
          <w:color w:val="0E0E0E"/>
        </w:rPr>
        <w:t>r</w:t>
      </w:r>
      <w:r>
        <w:rPr>
          <w:rFonts w:ascii="Arial" w:cs="Arial" w:eastAsia="Arial" w:hAnsi="Arial"/>
          <w:sz w:val="18"/>
          <w:szCs w:val="18"/>
          <w:color w:val="1D1D1D"/>
        </w:rPr>
        <w:t>etary o</w:t>
      </w:r>
      <w:r>
        <w:rPr>
          <w:rFonts w:ascii="Arial" w:cs="Arial" w:eastAsia="Arial" w:hAnsi="Arial"/>
          <w:sz w:val="18"/>
          <w:szCs w:val="18"/>
          <w:color w:val="0E0E0E"/>
        </w:rPr>
        <w:t xml:space="preserve">f </w:t>
      </w:r>
      <w:r>
        <w:rPr>
          <w:rFonts w:ascii="Arial" w:cs="Arial" w:eastAsia="Arial" w:hAnsi="Arial"/>
          <w:sz w:val="18"/>
          <w:szCs w:val="18"/>
          <w:color w:val="1D1D1D"/>
        </w:rPr>
        <w:t>State o</w:t>
      </w:r>
      <w:r>
        <w:rPr>
          <w:rFonts w:ascii="Arial" w:cs="Arial" w:eastAsia="Arial" w:hAnsi="Arial"/>
          <w:sz w:val="18"/>
          <w:szCs w:val="18"/>
          <w:color w:val="0E0E0E"/>
        </w:rPr>
        <w:t>f t</w:t>
      </w:r>
      <w:r>
        <w:rPr>
          <w:rFonts w:ascii="Arial" w:cs="Arial" w:eastAsia="Arial" w:hAnsi="Arial"/>
          <w:sz w:val="18"/>
          <w:szCs w:val="18"/>
          <w:color w:val="1D1D1D"/>
        </w:rPr>
        <w:t>h</w:t>
      </w:r>
      <w:r>
        <w:rPr>
          <w:rFonts w:ascii="Arial" w:cs="Arial" w:eastAsia="Arial" w:hAnsi="Arial"/>
          <w:sz w:val="18"/>
          <w:szCs w:val="18"/>
          <w:color w:val="0E0E0E"/>
        </w:rPr>
        <w:t xml:space="preserve">e </w:t>
      </w:r>
      <w:r>
        <w:rPr>
          <w:rFonts w:ascii="Arial" w:cs="Arial" w:eastAsia="Arial" w:hAnsi="Arial"/>
          <w:sz w:val="18"/>
          <w:szCs w:val="18"/>
          <w:color w:val="1D1D1D"/>
        </w:rPr>
        <w:t>S</w:t>
      </w:r>
      <w:r>
        <w:rPr>
          <w:rFonts w:ascii="Arial" w:cs="Arial" w:eastAsia="Arial" w:hAnsi="Arial"/>
          <w:sz w:val="18"/>
          <w:szCs w:val="18"/>
          <w:color w:val="0E0E0E"/>
        </w:rPr>
        <w:t>t</w:t>
      </w:r>
      <w:r>
        <w:rPr>
          <w:rFonts w:ascii="Arial" w:cs="Arial" w:eastAsia="Arial" w:hAnsi="Arial"/>
          <w:sz w:val="18"/>
          <w:szCs w:val="18"/>
          <w:color w:val="1D1D1D"/>
        </w:rPr>
        <w:t>a</w:t>
      </w:r>
      <w:r>
        <w:rPr>
          <w:rFonts w:ascii="Arial" w:cs="Arial" w:eastAsia="Arial" w:hAnsi="Arial"/>
          <w:sz w:val="18"/>
          <w:szCs w:val="18"/>
          <w:color w:val="0E0E0E"/>
        </w:rPr>
        <w:t>t</w:t>
      </w:r>
      <w:r>
        <w:rPr>
          <w:rFonts w:ascii="Arial" w:cs="Arial" w:eastAsia="Arial" w:hAnsi="Arial"/>
          <w:sz w:val="18"/>
          <w:szCs w:val="18"/>
          <w:color w:val="1D1D1D"/>
        </w:rPr>
        <w:t>e of</w:t>
      </w:r>
      <w:r>
        <w:rPr>
          <w:rFonts w:ascii="Arial" w:cs="Arial" w:eastAsia="Arial" w:hAnsi="Arial"/>
          <w:sz w:val="18"/>
          <w:szCs w:val="18"/>
          <w:color w:val="0E0E0E"/>
        </w:rPr>
        <w:t xml:space="preserve"> Del</w:t>
      </w:r>
      <w:r>
        <w:rPr>
          <w:rFonts w:ascii="Arial" w:cs="Arial" w:eastAsia="Arial" w:hAnsi="Arial"/>
          <w:sz w:val="18"/>
          <w:szCs w:val="18"/>
          <w:color w:val="1D1D1D"/>
        </w:rPr>
        <w:t>a</w:t>
      </w:r>
      <w:r>
        <w:rPr>
          <w:rFonts w:ascii="Arial" w:cs="Arial" w:eastAsia="Arial" w:hAnsi="Arial"/>
          <w:sz w:val="18"/>
          <w:szCs w:val="18"/>
          <w:color w:val="0E0E0E"/>
        </w:rPr>
        <w:t>w</w:t>
      </w:r>
      <w:r>
        <w:rPr>
          <w:rFonts w:ascii="Arial" w:cs="Arial" w:eastAsia="Arial" w:hAnsi="Arial"/>
          <w:sz w:val="18"/>
          <w:szCs w:val="18"/>
          <w:color w:val="1D1D1D"/>
        </w:rPr>
        <w:t>are</w:t>
      </w:r>
      <w:r>
        <w:rPr>
          <w:rFonts w:ascii="Arial" w:cs="Arial" w:eastAsia="Arial" w:hAnsi="Arial"/>
          <w:sz w:val="18"/>
          <w:szCs w:val="18"/>
          <w:color w:val="0E0E0E"/>
        </w:rPr>
        <w:t xml:space="preserve"> w</w:t>
      </w:r>
      <w:r>
        <w:rPr>
          <w:rFonts w:ascii="Arial" w:cs="Arial" w:eastAsia="Arial" w:hAnsi="Arial"/>
          <w:sz w:val="18"/>
          <w:szCs w:val="18"/>
          <w:color w:val="1D1D1D"/>
        </w:rPr>
        <w:t>as</w:t>
      </w:r>
      <w:r>
        <w:rPr>
          <w:rFonts w:ascii="Arial" w:cs="Arial" w:eastAsia="Arial" w:hAnsi="Arial"/>
          <w:sz w:val="18"/>
          <w:szCs w:val="18"/>
          <w:color w:val="0E0E0E"/>
        </w:rPr>
        <w:t xml:space="preserve"> A</w:t>
      </w:r>
      <w:r>
        <w:rPr>
          <w:rFonts w:ascii="Arial" w:cs="Arial" w:eastAsia="Arial" w:hAnsi="Arial"/>
          <w:sz w:val="18"/>
          <w:szCs w:val="18"/>
          <w:color w:val="1D1D1D"/>
        </w:rPr>
        <w:t>pril 26, 1996.</w:t>
      </w:r>
    </w:p>
    <w:p>
      <w:pPr>
        <w:spacing w:after="0" w:line="142" w:lineRule="exact"/>
        <w:rPr>
          <w:sz w:val="20"/>
          <w:szCs w:val="20"/>
          <w:color w:val="auto"/>
        </w:rPr>
      </w:pPr>
    </w:p>
    <w:p>
      <w:pPr>
        <w:ind w:left="860" w:right="740" w:hanging="296"/>
        <w:spacing w:after="0" w:line="324" w:lineRule="auto"/>
        <w:rPr>
          <w:sz w:val="20"/>
          <w:szCs w:val="20"/>
          <w:color w:val="auto"/>
        </w:rPr>
      </w:pPr>
      <w:r>
        <w:rPr>
          <w:rFonts w:ascii="Arial" w:cs="Arial" w:eastAsia="Arial" w:hAnsi="Arial"/>
          <w:sz w:val="17"/>
          <w:szCs w:val="17"/>
          <w:color w:val="1D1D1D"/>
        </w:rPr>
        <w:t>3</w:t>
      </w:r>
      <w:r>
        <w:rPr>
          <w:rFonts w:ascii="Arial" w:cs="Arial" w:eastAsia="Arial" w:hAnsi="Arial"/>
          <w:sz w:val="17"/>
          <w:szCs w:val="17"/>
          <w:color w:val="494949"/>
        </w:rPr>
        <w:t>.</w:t>
      </w:r>
      <w:r>
        <w:rPr>
          <w:rFonts w:ascii="Arial" w:cs="Arial" w:eastAsia="Arial" w:hAnsi="Arial"/>
          <w:sz w:val="17"/>
          <w:szCs w:val="17"/>
          <w:color w:val="1D1D1D"/>
        </w:rPr>
        <w:t xml:space="preserve"> T</w:t>
      </w:r>
      <w:r>
        <w:rPr>
          <w:rFonts w:ascii="Arial" w:cs="Arial" w:eastAsia="Arial" w:hAnsi="Arial"/>
          <w:sz w:val="17"/>
          <w:szCs w:val="17"/>
          <w:color w:val="0E0E0E"/>
        </w:rPr>
        <w:t>h</w:t>
      </w:r>
      <w:r>
        <w:rPr>
          <w:rFonts w:ascii="Arial" w:cs="Arial" w:eastAsia="Arial" w:hAnsi="Arial"/>
          <w:sz w:val="17"/>
          <w:szCs w:val="17"/>
          <w:color w:val="1D1D1D"/>
        </w:rPr>
        <w:t>e Corporat</w:t>
      </w:r>
      <w:r>
        <w:rPr>
          <w:rFonts w:ascii="Arial" w:cs="Arial" w:eastAsia="Arial" w:hAnsi="Arial"/>
          <w:sz w:val="17"/>
          <w:szCs w:val="17"/>
          <w:color w:val="0E0E0E"/>
        </w:rPr>
        <w:t>i</w:t>
      </w:r>
      <w:r>
        <w:rPr>
          <w:rFonts w:ascii="Arial" w:cs="Arial" w:eastAsia="Arial" w:hAnsi="Arial"/>
          <w:sz w:val="17"/>
          <w:szCs w:val="17"/>
          <w:color w:val="1D1D1D"/>
        </w:rPr>
        <w:t>o</w:t>
      </w:r>
      <w:r>
        <w:rPr>
          <w:rFonts w:ascii="Arial" w:cs="Arial" w:eastAsia="Arial" w:hAnsi="Arial"/>
          <w:sz w:val="17"/>
          <w:szCs w:val="17"/>
          <w:color w:val="0E0E0E"/>
        </w:rPr>
        <w:t>n</w:t>
      </w:r>
      <w:r>
        <w:rPr>
          <w:rFonts w:ascii="Arial" w:cs="Arial" w:eastAsia="Arial" w:hAnsi="Arial"/>
          <w:sz w:val="17"/>
          <w:szCs w:val="17"/>
          <w:color w:val="1D1D1D"/>
        </w:rPr>
        <w:t xml:space="preserve">'s </w:t>
      </w:r>
      <w:r>
        <w:rPr>
          <w:rFonts w:ascii="Arial" w:cs="Arial" w:eastAsia="Arial" w:hAnsi="Arial"/>
          <w:sz w:val="17"/>
          <w:szCs w:val="17"/>
          <w:color w:val="0E0E0E"/>
        </w:rPr>
        <w:t>Am</w:t>
      </w:r>
      <w:r>
        <w:rPr>
          <w:rFonts w:ascii="Arial" w:cs="Arial" w:eastAsia="Arial" w:hAnsi="Arial"/>
          <w:sz w:val="17"/>
          <w:szCs w:val="17"/>
          <w:color w:val="1D1D1D"/>
        </w:rPr>
        <w:t>e</w:t>
      </w:r>
      <w:r>
        <w:rPr>
          <w:rFonts w:ascii="Arial" w:cs="Arial" w:eastAsia="Arial" w:hAnsi="Arial"/>
          <w:sz w:val="17"/>
          <w:szCs w:val="17"/>
          <w:color w:val="0E0E0E"/>
        </w:rPr>
        <w:t>nd</w:t>
      </w:r>
      <w:r>
        <w:rPr>
          <w:rFonts w:ascii="Arial" w:cs="Arial" w:eastAsia="Arial" w:hAnsi="Arial"/>
          <w:sz w:val="17"/>
          <w:szCs w:val="17"/>
          <w:color w:val="1D1D1D"/>
        </w:rPr>
        <w:t>e</w:t>
      </w:r>
      <w:r>
        <w:rPr>
          <w:rFonts w:ascii="Arial" w:cs="Arial" w:eastAsia="Arial" w:hAnsi="Arial"/>
          <w:sz w:val="17"/>
          <w:szCs w:val="17"/>
          <w:color w:val="0E0E0E"/>
        </w:rPr>
        <w:t>d</w:t>
      </w:r>
      <w:r>
        <w:rPr>
          <w:rFonts w:ascii="Arial" w:cs="Arial" w:eastAsia="Arial" w:hAnsi="Arial"/>
          <w:sz w:val="17"/>
          <w:szCs w:val="17"/>
          <w:color w:val="1D1D1D"/>
        </w:rPr>
        <w:t xml:space="preserve"> a</w:t>
      </w:r>
      <w:r>
        <w:rPr>
          <w:rFonts w:ascii="Arial" w:cs="Arial" w:eastAsia="Arial" w:hAnsi="Arial"/>
          <w:sz w:val="17"/>
          <w:szCs w:val="17"/>
          <w:color w:val="0E0E0E"/>
        </w:rPr>
        <w:t>nd Re</w:t>
      </w:r>
      <w:r>
        <w:rPr>
          <w:rFonts w:ascii="Arial" w:cs="Arial" w:eastAsia="Arial" w:hAnsi="Arial"/>
          <w:sz w:val="17"/>
          <w:szCs w:val="17"/>
          <w:color w:val="1D1D1D"/>
        </w:rPr>
        <w:t>s</w:t>
      </w:r>
      <w:r>
        <w:rPr>
          <w:rFonts w:ascii="Arial" w:cs="Arial" w:eastAsia="Arial" w:hAnsi="Arial"/>
          <w:sz w:val="17"/>
          <w:szCs w:val="17"/>
          <w:color w:val="0E0E0E"/>
        </w:rPr>
        <w:t>tat</w:t>
      </w:r>
      <w:r>
        <w:rPr>
          <w:rFonts w:ascii="Arial" w:cs="Arial" w:eastAsia="Arial" w:hAnsi="Arial"/>
          <w:sz w:val="17"/>
          <w:szCs w:val="17"/>
          <w:color w:val="1D1D1D"/>
        </w:rPr>
        <w:t>e</w:t>
      </w:r>
      <w:r>
        <w:rPr>
          <w:rFonts w:ascii="Arial" w:cs="Arial" w:eastAsia="Arial" w:hAnsi="Arial"/>
          <w:sz w:val="17"/>
          <w:szCs w:val="17"/>
          <w:color w:val="0E0E0E"/>
        </w:rPr>
        <w:t>d</w:t>
      </w:r>
      <w:r>
        <w:rPr>
          <w:rFonts w:ascii="Arial" w:cs="Arial" w:eastAsia="Arial" w:hAnsi="Arial"/>
          <w:sz w:val="17"/>
          <w:szCs w:val="17"/>
          <w:color w:val="1D1D1D"/>
        </w:rPr>
        <w:t xml:space="preserve"> Ce</w:t>
      </w:r>
      <w:r>
        <w:rPr>
          <w:rFonts w:ascii="Arial" w:cs="Arial" w:eastAsia="Arial" w:hAnsi="Arial"/>
          <w:sz w:val="17"/>
          <w:szCs w:val="17"/>
          <w:color w:val="0E0E0E"/>
        </w:rPr>
        <w:t>rti</w:t>
      </w:r>
      <w:r>
        <w:rPr>
          <w:rFonts w:ascii="Arial" w:cs="Arial" w:eastAsia="Arial" w:hAnsi="Arial"/>
          <w:sz w:val="17"/>
          <w:szCs w:val="17"/>
          <w:color w:val="1D1D1D"/>
        </w:rPr>
        <w:t>ficate of I</w:t>
      </w:r>
      <w:r>
        <w:rPr>
          <w:rFonts w:ascii="Arial" w:cs="Arial" w:eastAsia="Arial" w:hAnsi="Arial"/>
          <w:sz w:val="17"/>
          <w:szCs w:val="17"/>
          <w:color w:val="0E0E0E"/>
        </w:rPr>
        <w:t>n</w:t>
      </w:r>
      <w:r>
        <w:rPr>
          <w:rFonts w:ascii="Arial" w:cs="Arial" w:eastAsia="Arial" w:hAnsi="Arial"/>
          <w:sz w:val="17"/>
          <w:szCs w:val="17"/>
          <w:color w:val="1D1D1D"/>
        </w:rPr>
        <w:t>cor</w:t>
      </w:r>
      <w:r>
        <w:rPr>
          <w:rFonts w:ascii="Arial" w:cs="Arial" w:eastAsia="Arial" w:hAnsi="Arial"/>
          <w:sz w:val="17"/>
          <w:szCs w:val="17"/>
          <w:color w:val="0E0E0E"/>
        </w:rPr>
        <w:t>p</w:t>
      </w:r>
      <w:r>
        <w:rPr>
          <w:rFonts w:ascii="Arial" w:cs="Arial" w:eastAsia="Arial" w:hAnsi="Arial"/>
          <w:sz w:val="17"/>
          <w:szCs w:val="17"/>
          <w:color w:val="1D1D1D"/>
        </w:rPr>
        <w:t>oration was filed w</w:t>
      </w:r>
      <w:r>
        <w:rPr>
          <w:rFonts w:ascii="Arial" w:cs="Arial" w:eastAsia="Arial" w:hAnsi="Arial"/>
          <w:sz w:val="17"/>
          <w:szCs w:val="17"/>
          <w:color w:val="0E0E0E"/>
        </w:rPr>
        <w:t>i</w:t>
      </w:r>
      <w:r>
        <w:rPr>
          <w:rFonts w:ascii="Arial" w:cs="Arial" w:eastAsia="Arial" w:hAnsi="Arial"/>
          <w:sz w:val="17"/>
          <w:szCs w:val="17"/>
          <w:color w:val="1D1D1D"/>
        </w:rPr>
        <w:t>t</w:t>
      </w:r>
      <w:r>
        <w:rPr>
          <w:rFonts w:ascii="Arial" w:cs="Arial" w:eastAsia="Arial" w:hAnsi="Arial"/>
          <w:sz w:val="17"/>
          <w:szCs w:val="17"/>
          <w:color w:val="0E0E0E"/>
        </w:rPr>
        <w:t>h</w:t>
      </w:r>
      <w:r>
        <w:rPr>
          <w:rFonts w:ascii="Arial" w:cs="Arial" w:eastAsia="Arial" w:hAnsi="Arial"/>
          <w:sz w:val="17"/>
          <w:szCs w:val="17"/>
          <w:color w:val="1D1D1D"/>
        </w:rPr>
        <w:t xml:space="preserve"> t</w:t>
      </w:r>
      <w:r>
        <w:rPr>
          <w:rFonts w:ascii="Arial" w:cs="Arial" w:eastAsia="Arial" w:hAnsi="Arial"/>
          <w:sz w:val="17"/>
          <w:szCs w:val="17"/>
          <w:color w:val="0E0E0E"/>
        </w:rPr>
        <w:t>h</w:t>
      </w:r>
      <w:r>
        <w:rPr>
          <w:rFonts w:ascii="Arial" w:cs="Arial" w:eastAsia="Arial" w:hAnsi="Arial"/>
          <w:sz w:val="17"/>
          <w:szCs w:val="17"/>
          <w:color w:val="1D1D1D"/>
        </w:rPr>
        <w:t xml:space="preserve">e </w:t>
      </w:r>
      <w:r>
        <w:rPr>
          <w:rFonts w:ascii="Arial" w:cs="Arial" w:eastAsia="Arial" w:hAnsi="Arial"/>
          <w:sz w:val="17"/>
          <w:szCs w:val="17"/>
          <w:color w:val="0E0E0E"/>
        </w:rPr>
        <w:t>S</w:t>
      </w:r>
      <w:r>
        <w:rPr>
          <w:rFonts w:ascii="Arial" w:cs="Arial" w:eastAsia="Arial" w:hAnsi="Arial"/>
          <w:sz w:val="17"/>
          <w:szCs w:val="17"/>
          <w:color w:val="1D1D1D"/>
        </w:rPr>
        <w:t>ecre</w:t>
      </w:r>
      <w:r>
        <w:rPr>
          <w:rFonts w:ascii="Arial" w:cs="Arial" w:eastAsia="Arial" w:hAnsi="Arial"/>
          <w:sz w:val="17"/>
          <w:szCs w:val="17"/>
          <w:color w:val="0E0E0E"/>
        </w:rPr>
        <w:t>t</w:t>
      </w:r>
      <w:r>
        <w:rPr>
          <w:rFonts w:ascii="Arial" w:cs="Arial" w:eastAsia="Arial" w:hAnsi="Arial"/>
          <w:sz w:val="17"/>
          <w:szCs w:val="17"/>
          <w:color w:val="1D1D1D"/>
        </w:rPr>
        <w:t>a</w:t>
      </w:r>
      <w:r>
        <w:rPr>
          <w:rFonts w:ascii="Arial" w:cs="Arial" w:eastAsia="Arial" w:hAnsi="Arial"/>
          <w:sz w:val="17"/>
          <w:szCs w:val="17"/>
          <w:color w:val="0E0E0E"/>
        </w:rPr>
        <w:t>ry</w:t>
      </w:r>
      <w:r>
        <w:rPr>
          <w:rFonts w:ascii="Arial" w:cs="Arial" w:eastAsia="Arial" w:hAnsi="Arial"/>
          <w:sz w:val="17"/>
          <w:szCs w:val="17"/>
          <w:color w:val="1D1D1D"/>
        </w:rPr>
        <w:t xml:space="preserve"> of Sta</w:t>
      </w:r>
      <w:r>
        <w:rPr>
          <w:rFonts w:ascii="Arial" w:cs="Arial" w:eastAsia="Arial" w:hAnsi="Arial"/>
          <w:sz w:val="17"/>
          <w:szCs w:val="17"/>
          <w:color w:val="0E0E0E"/>
        </w:rPr>
        <w:t>te</w:t>
      </w:r>
      <w:r>
        <w:rPr>
          <w:rFonts w:ascii="Arial" w:cs="Arial" w:eastAsia="Arial" w:hAnsi="Arial"/>
          <w:sz w:val="17"/>
          <w:szCs w:val="17"/>
          <w:color w:val="1D1D1D"/>
        </w:rPr>
        <w:t xml:space="preserve"> of </w:t>
      </w:r>
      <w:r>
        <w:rPr>
          <w:rFonts w:ascii="Arial" w:cs="Arial" w:eastAsia="Arial" w:hAnsi="Arial"/>
          <w:sz w:val="17"/>
          <w:szCs w:val="17"/>
          <w:color w:val="0E0E0E"/>
        </w:rPr>
        <w:t>the St</w:t>
      </w:r>
      <w:r>
        <w:rPr>
          <w:rFonts w:ascii="Arial" w:cs="Arial" w:eastAsia="Arial" w:hAnsi="Arial"/>
          <w:sz w:val="17"/>
          <w:szCs w:val="17"/>
          <w:color w:val="1D1D1D"/>
        </w:rPr>
        <w:t>ate o</w:t>
      </w:r>
      <w:r>
        <w:rPr>
          <w:rFonts w:ascii="Arial" w:cs="Arial" w:eastAsia="Arial" w:hAnsi="Arial"/>
          <w:sz w:val="17"/>
          <w:szCs w:val="17"/>
          <w:color w:val="0E0E0E"/>
        </w:rPr>
        <w:t>f</w:t>
      </w:r>
      <w:r>
        <w:rPr>
          <w:rFonts w:ascii="Arial" w:cs="Arial" w:eastAsia="Arial" w:hAnsi="Arial"/>
          <w:sz w:val="17"/>
          <w:szCs w:val="17"/>
          <w:color w:val="1D1D1D"/>
        </w:rPr>
        <w:t xml:space="preserve"> </w:t>
      </w:r>
      <w:r>
        <w:rPr>
          <w:rFonts w:ascii="Arial" w:cs="Arial" w:eastAsia="Arial" w:hAnsi="Arial"/>
          <w:sz w:val="17"/>
          <w:szCs w:val="17"/>
          <w:color w:val="0E0E0E"/>
        </w:rPr>
        <w:t>D</w:t>
      </w:r>
      <w:r>
        <w:rPr>
          <w:rFonts w:ascii="Arial" w:cs="Arial" w:eastAsia="Arial" w:hAnsi="Arial"/>
          <w:sz w:val="17"/>
          <w:szCs w:val="17"/>
          <w:color w:val="1D1D1D"/>
        </w:rPr>
        <w:t>e</w:t>
      </w:r>
      <w:r>
        <w:rPr>
          <w:rFonts w:ascii="Arial" w:cs="Arial" w:eastAsia="Arial" w:hAnsi="Arial"/>
          <w:sz w:val="17"/>
          <w:szCs w:val="17"/>
          <w:color w:val="0E0E0E"/>
        </w:rPr>
        <w:t>l</w:t>
      </w:r>
      <w:r>
        <w:rPr>
          <w:rFonts w:ascii="Arial" w:cs="Arial" w:eastAsia="Arial" w:hAnsi="Arial"/>
          <w:sz w:val="17"/>
          <w:szCs w:val="17"/>
          <w:color w:val="1D1D1D"/>
        </w:rPr>
        <w:t>a</w:t>
      </w:r>
      <w:r>
        <w:rPr>
          <w:rFonts w:ascii="Arial" w:cs="Arial" w:eastAsia="Arial" w:hAnsi="Arial"/>
          <w:sz w:val="17"/>
          <w:szCs w:val="17"/>
          <w:color w:val="0E0E0E"/>
        </w:rPr>
        <w:t>w</w:t>
      </w:r>
      <w:r>
        <w:rPr>
          <w:rFonts w:ascii="Arial" w:cs="Arial" w:eastAsia="Arial" w:hAnsi="Arial"/>
          <w:sz w:val="17"/>
          <w:szCs w:val="17"/>
          <w:color w:val="1D1D1D"/>
        </w:rPr>
        <w:t>a</w:t>
      </w:r>
      <w:r>
        <w:rPr>
          <w:rFonts w:ascii="Arial" w:cs="Arial" w:eastAsia="Arial" w:hAnsi="Arial"/>
          <w:sz w:val="17"/>
          <w:szCs w:val="17"/>
          <w:color w:val="0E0E0E"/>
        </w:rPr>
        <w:t>r</w:t>
      </w:r>
      <w:r>
        <w:rPr>
          <w:rFonts w:ascii="Arial" w:cs="Arial" w:eastAsia="Arial" w:hAnsi="Arial"/>
          <w:sz w:val="17"/>
          <w:szCs w:val="17"/>
          <w:color w:val="1D1D1D"/>
        </w:rPr>
        <w:t>e o</w:t>
      </w:r>
      <w:r>
        <w:rPr>
          <w:rFonts w:ascii="Arial" w:cs="Arial" w:eastAsia="Arial" w:hAnsi="Arial"/>
          <w:sz w:val="17"/>
          <w:szCs w:val="17"/>
          <w:color w:val="0E0E0E"/>
        </w:rPr>
        <w:t>n N</w:t>
      </w:r>
      <w:r>
        <w:rPr>
          <w:rFonts w:ascii="Arial" w:cs="Arial" w:eastAsia="Arial" w:hAnsi="Arial"/>
          <w:sz w:val="17"/>
          <w:szCs w:val="17"/>
          <w:color w:val="1D1D1D"/>
        </w:rPr>
        <w:t>ov</w:t>
      </w:r>
      <w:r>
        <w:rPr>
          <w:rFonts w:ascii="Arial" w:cs="Arial" w:eastAsia="Arial" w:hAnsi="Arial"/>
          <w:sz w:val="17"/>
          <w:szCs w:val="17"/>
          <w:color w:val="0E0E0E"/>
        </w:rPr>
        <w:t>em</w:t>
      </w:r>
      <w:r>
        <w:rPr>
          <w:rFonts w:ascii="Arial" w:cs="Arial" w:eastAsia="Arial" w:hAnsi="Arial"/>
          <w:sz w:val="17"/>
          <w:szCs w:val="17"/>
          <w:color w:val="1D1D1D"/>
        </w:rPr>
        <w:t>ber 21, 2000 (</w:t>
      </w:r>
      <w:r>
        <w:rPr>
          <w:rFonts w:ascii="Arial" w:cs="Arial" w:eastAsia="Arial" w:hAnsi="Arial"/>
          <w:sz w:val="17"/>
          <w:szCs w:val="17"/>
          <w:color w:val="0E0E0E"/>
        </w:rPr>
        <w:t>a</w:t>
      </w:r>
      <w:r>
        <w:rPr>
          <w:rFonts w:ascii="Arial" w:cs="Arial" w:eastAsia="Arial" w:hAnsi="Arial"/>
          <w:sz w:val="17"/>
          <w:szCs w:val="17"/>
          <w:color w:val="1D1D1D"/>
        </w:rPr>
        <w:t>s a</w:t>
      </w:r>
      <w:r>
        <w:rPr>
          <w:rFonts w:ascii="Arial" w:cs="Arial" w:eastAsia="Arial" w:hAnsi="Arial"/>
          <w:sz w:val="17"/>
          <w:szCs w:val="17"/>
          <w:color w:val="0E0E0E"/>
        </w:rPr>
        <w:t>m</w:t>
      </w:r>
      <w:r>
        <w:rPr>
          <w:rFonts w:ascii="Arial" w:cs="Arial" w:eastAsia="Arial" w:hAnsi="Arial"/>
          <w:sz w:val="17"/>
          <w:szCs w:val="17"/>
          <w:color w:val="1D1D1D"/>
        </w:rPr>
        <w:t>ended,</w:t>
      </w:r>
      <w:r>
        <w:rPr>
          <w:rFonts w:ascii="Arial" w:cs="Arial" w:eastAsia="Arial" w:hAnsi="Arial"/>
          <w:sz w:val="17"/>
          <w:szCs w:val="17"/>
          <w:color w:val="0E0E0E"/>
        </w:rPr>
        <w:t xml:space="preserve"> the </w:t>
      </w:r>
      <w:r>
        <w:rPr>
          <w:rFonts w:ascii="Arial" w:cs="Arial" w:eastAsia="Arial" w:hAnsi="Arial"/>
          <w:sz w:val="17"/>
          <w:szCs w:val="17"/>
          <w:color w:val="1D1D1D"/>
        </w:rPr>
        <w:t>"</w:t>
      </w:r>
      <w:r>
        <w:rPr>
          <w:rFonts w:ascii="Arial" w:cs="Arial" w:eastAsia="Arial" w:hAnsi="Arial"/>
          <w:sz w:val="17"/>
          <w:szCs w:val="17"/>
          <w:color w:val="0E0E0E"/>
        </w:rPr>
        <w:t>Amend</w:t>
      </w:r>
      <w:r>
        <w:rPr>
          <w:rFonts w:ascii="Arial" w:cs="Arial" w:eastAsia="Arial" w:hAnsi="Arial"/>
          <w:sz w:val="17"/>
          <w:szCs w:val="17"/>
          <w:color w:val="1D1D1D"/>
        </w:rPr>
        <w:t>e</w:t>
      </w:r>
      <w:r>
        <w:rPr>
          <w:rFonts w:ascii="Arial" w:cs="Arial" w:eastAsia="Arial" w:hAnsi="Arial"/>
          <w:sz w:val="17"/>
          <w:szCs w:val="17"/>
          <w:color w:val="0E0E0E"/>
        </w:rPr>
        <w:t xml:space="preserve">d </w:t>
      </w:r>
      <w:r>
        <w:rPr>
          <w:rFonts w:ascii="Arial" w:cs="Arial" w:eastAsia="Arial" w:hAnsi="Arial"/>
          <w:sz w:val="17"/>
          <w:szCs w:val="17"/>
          <w:color w:val="1D1D1D"/>
        </w:rPr>
        <w:t>a</w:t>
      </w:r>
      <w:r>
        <w:rPr>
          <w:rFonts w:ascii="Arial" w:cs="Arial" w:eastAsia="Arial" w:hAnsi="Arial"/>
          <w:sz w:val="17"/>
          <w:szCs w:val="17"/>
          <w:color w:val="0E0E0E"/>
        </w:rPr>
        <w:t>nd R</w:t>
      </w:r>
      <w:r>
        <w:rPr>
          <w:rFonts w:ascii="Arial" w:cs="Arial" w:eastAsia="Arial" w:hAnsi="Arial"/>
          <w:sz w:val="17"/>
          <w:szCs w:val="17"/>
          <w:color w:val="1D1D1D"/>
        </w:rPr>
        <w:t>es</w:t>
      </w:r>
      <w:r>
        <w:rPr>
          <w:rFonts w:ascii="Arial" w:cs="Arial" w:eastAsia="Arial" w:hAnsi="Arial"/>
          <w:sz w:val="17"/>
          <w:szCs w:val="17"/>
          <w:color w:val="0E0E0E"/>
        </w:rPr>
        <w:t>t</w:t>
      </w:r>
      <w:r>
        <w:rPr>
          <w:rFonts w:ascii="Arial" w:cs="Arial" w:eastAsia="Arial" w:hAnsi="Arial"/>
          <w:sz w:val="17"/>
          <w:szCs w:val="17"/>
          <w:color w:val="1D1D1D"/>
        </w:rPr>
        <w:t>a</w:t>
      </w:r>
      <w:r>
        <w:rPr>
          <w:rFonts w:ascii="Arial" w:cs="Arial" w:eastAsia="Arial" w:hAnsi="Arial"/>
          <w:sz w:val="17"/>
          <w:szCs w:val="17"/>
          <w:color w:val="0E0E0E"/>
        </w:rPr>
        <w:t>t</w:t>
      </w:r>
      <w:r>
        <w:rPr>
          <w:rFonts w:ascii="Arial" w:cs="Arial" w:eastAsia="Arial" w:hAnsi="Arial"/>
          <w:sz w:val="17"/>
          <w:szCs w:val="17"/>
          <w:color w:val="1D1D1D"/>
        </w:rPr>
        <w:t>e</w:t>
      </w:r>
      <w:r>
        <w:rPr>
          <w:rFonts w:ascii="Arial" w:cs="Arial" w:eastAsia="Arial" w:hAnsi="Arial"/>
          <w:sz w:val="17"/>
          <w:szCs w:val="17"/>
          <w:color w:val="0E0E0E"/>
        </w:rPr>
        <w:t xml:space="preserve">d </w:t>
      </w:r>
      <w:r>
        <w:rPr>
          <w:rFonts w:ascii="Arial" w:cs="Arial" w:eastAsia="Arial" w:hAnsi="Arial"/>
          <w:sz w:val="17"/>
          <w:szCs w:val="17"/>
          <w:color w:val="1D1D1D"/>
        </w:rPr>
        <w:t>Ce</w:t>
      </w:r>
      <w:r>
        <w:rPr>
          <w:rFonts w:ascii="Arial" w:cs="Arial" w:eastAsia="Arial" w:hAnsi="Arial"/>
          <w:sz w:val="17"/>
          <w:szCs w:val="17"/>
          <w:color w:val="0E0E0E"/>
        </w:rPr>
        <w:t>rtifi</w:t>
      </w:r>
      <w:r>
        <w:rPr>
          <w:rFonts w:ascii="Arial" w:cs="Arial" w:eastAsia="Arial" w:hAnsi="Arial"/>
          <w:sz w:val="17"/>
          <w:szCs w:val="17"/>
          <w:color w:val="1D1D1D"/>
        </w:rPr>
        <w:t>c</w:t>
      </w:r>
      <w:r>
        <w:rPr>
          <w:rFonts w:ascii="Arial" w:cs="Arial" w:eastAsia="Arial" w:hAnsi="Arial"/>
          <w:sz w:val="17"/>
          <w:szCs w:val="17"/>
          <w:color w:val="0E0E0E"/>
        </w:rPr>
        <w:t xml:space="preserve">ate </w:t>
      </w:r>
      <w:r>
        <w:rPr>
          <w:rFonts w:ascii="Arial" w:cs="Arial" w:eastAsia="Arial" w:hAnsi="Arial"/>
          <w:sz w:val="17"/>
          <w:szCs w:val="17"/>
          <w:color w:val="1D1D1D"/>
        </w:rPr>
        <w:t>o</w:t>
      </w:r>
      <w:r>
        <w:rPr>
          <w:rFonts w:ascii="Arial" w:cs="Arial" w:eastAsia="Arial" w:hAnsi="Arial"/>
          <w:sz w:val="17"/>
          <w:szCs w:val="17"/>
          <w:color w:val="0E0E0E"/>
        </w:rPr>
        <w:t xml:space="preserve">f </w:t>
      </w:r>
      <w:r>
        <w:rPr>
          <w:rFonts w:ascii="Arial" w:cs="Arial" w:eastAsia="Arial" w:hAnsi="Arial"/>
          <w:sz w:val="17"/>
          <w:szCs w:val="17"/>
          <w:color w:val="1D1D1D"/>
        </w:rPr>
        <w:t>I</w:t>
      </w:r>
      <w:r>
        <w:rPr>
          <w:rFonts w:ascii="Arial" w:cs="Arial" w:eastAsia="Arial" w:hAnsi="Arial"/>
          <w:sz w:val="17"/>
          <w:szCs w:val="17"/>
          <w:color w:val="0E0E0E"/>
        </w:rPr>
        <w:t>n</w:t>
      </w:r>
      <w:r>
        <w:rPr>
          <w:rFonts w:ascii="Arial" w:cs="Arial" w:eastAsia="Arial" w:hAnsi="Arial"/>
          <w:sz w:val="17"/>
          <w:szCs w:val="17"/>
          <w:color w:val="1D1D1D"/>
        </w:rPr>
        <w:t>co</w:t>
      </w:r>
      <w:r>
        <w:rPr>
          <w:rFonts w:ascii="Arial" w:cs="Arial" w:eastAsia="Arial" w:hAnsi="Arial"/>
          <w:sz w:val="17"/>
          <w:szCs w:val="17"/>
          <w:color w:val="0E0E0E"/>
        </w:rPr>
        <w:t>rp</w:t>
      </w:r>
      <w:r>
        <w:rPr>
          <w:rFonts w:ascii="Arial" w:cs="Arial" w:eastAsia="Arial" w:hAnsi="Arial"/>
          <w:sz w:val="17"/>
          <w:szCs w:val="17"/>
          <w:color w:val="1D1D1D"/>
        </w:rPr>
        <w:t>o</w:t>
      </w:r>
      <w:r>
        <w:rPr>
          <w:rFonts w:ascii="Arial" w:cs="Arial" w:eastAsia="Arial" w:hAnsi="Arial"/>
          <w:sz w:val="17"/>
          <w:szCs w:val="17"/>
          <w:color w:val="0E0E0E"/>
        </w:rPr>
        <w:t>rati</w:t>
      </w:r>
      <w:r>
        <w:rPr>
          <w:rFonts w:ascii="Arial" w:cs="Arial" w:eastAsia="Arial" w:hAnsi="Arial"/>
          <w:sz w:val="17"/>
          <w:szCs w:val="17"/>
          <w:color w:val="1D1D1D"/>
        </w:rPr>
        <w:t>o</w:t>
      </w:r>
      <w:r>
        <w:rPr>
          <w:rFonts w:ascii="Arial" w:cs="Arial" w:eastAsia="Arial" w:hAnsi="Arial"/>
          <w:sz w:val="17"/>
          <w:szCs w:val="17"/>
          <w:color w:val="0E0E0E"/>
        </w:rPr>
        <w:t>n</w:t>
      </w:r>
      <w:r>
        <w:rPr>
          <w:rFonts w:ascii="Arial" w:cs="Arial" w:eastAsia="Arial" w:hAnsi="Arial"/>
          <w:sz w:val="17"/>
          <w:szCs w:val="17"/>
          <w:color w:val="1D1D1D"/>
        </w:rPr>
        <w:t>")</w:t>
      </w:r>
      <w:r>
        <w:rPr>
          <w:rFonts w:ascii="Arial" w:cs="Arial" w:eastAsia="Arial" w:hAnsi="Arial"/>
          <w:sz w:val="17"/>
          <w:szCs w:val="17"/>
          <w:color w:val="494949"/>
        </w:rPr>
        <w:t>.</w:t>
      </w:r>
    </w:p>
    <w:p>
      <w:pPr>
        <w:spacing w:after="0" w:line="107"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1D1D1D"/>
        </w:rPr>
        <w:t>4</w:t>
      </w:r>
      <w:r>
        <w:rPr>
          <w:rFonts w:ascii="Arial" w:cs="Arial" w:eastAsia="Arial" w:hAnsi="Arial"/>
          <w:sz w:val="18"/>
          <w:szCs w:val="18"/>
          <w:color w:val="333333"/>
        </w:rPr>
        <w:t>.</w:t>
      </w:r>
      <w:r>
        <w:rPr>
          <w:rFonts w:ascii="Arial" w:cs="Arial" w:eastAsia="Arial" w:hAnsi="Arial"/>
          <w:sz w:val="18"/>
          <w:szCs w:val="18"/>
          <w:color w:val="1D1D1D"/>
        </w:rPr>
        <w:t xml:space="preserve"> T</w:t>
      </w:r>
      <w:r>
        <w:rPr>
          <w:rFonts w:ascii="Arial" w:cs="Arial" w:eastAsia="Arial" w:hAnsi="Arial"/>
          <w:sz w:val="18"/>
          <w:szCs w:val="18"/>
          <w:color w:val="0E0E0E"/>
        </w:rPr>
        <w:t>h</w:t>
      </w:r>
      <w:r>
        <w:rPr>
          <w:rFonts w:ascii="Arial" w:cs="Arial" w:eastAsia="Arial" w:hAnsi="Arial"/>
          <w:sz w:val="18"/>
          <w:szCs w:val="18"/>
          <w:color w:val="1D1D1D"/>
        </w:rPr>
        <w:t xml:space="preserve">e </w:t>
      </w:r>
      <w:r>
        <w:rPr>
          <w:rFonts w:ascii="Arial" w:cs="Arial" w:eastAsia="Arial" w:hAnsi="Arial"/>
          <w:sz w:val="18"/>
          <w:szCs w:val="18"/>
          <w:color w:val="0E0E0E"/>
        </w:rPr>
        <w:t>B</w:t>
      </w:r>
      <w:r>
        <w:rPr>
          <w:rFonts w:ascii="Arial" w:cs="Arial" w:eastAsia="Arial" w:hAnsi="Arial"/>
          <w:sz w:val="18"/>
          <w:szCs w:val="18"/>
          <w:color w:val="1D1D1D"/>
        </w:rPr>
        <w:t>oar</w:t>
      </w:r>
      <w:r>
        <w:rPr>
          <w:rFonts w:ascii="Arial" w:cs="Arial" w:eastAsia="Arial" w:hAnsi="Arial"/>
          <w:sz w:val="18"/>
          <w:szCs w:val="18"/>
          <w:color w:val="0E0E0E"/>
        </w:rPr>
        <w:t>d</w:t>
      </w:r>
      <w:r>
        <w:rPr>
          <w:rFonts w:ascii="Arial" w:cs="Arial" w:eastAsia="Arial" w:hAnsi="Arial"/>
          <w:sz w:val="18"/>
          <w:szCs w:val="18"/>
          <w:color w:val="1D1D1D"/>
        </w:rPr>
        <w:t xml:space="preserve"> o</w:t>
      </w:r>
      <w:r>
        <w:rPr>
          <w:rFonts w:ascii="Arial" w:cs="Arial" w:eastAsia="Arial" w:hAnsi="Arial"/>
          <w:sz w:val="18"/>
          <w:szCs w:val="18"/>
          <w:color w:val="0E0E0E"/>
        </w:rPr>
        <w:t>f Dir</w:t>
      </w:r>
      <w:r>
        <w:rPr>
          <w:rFonts w:ascii="Arial" w:cs="Arial" w:eastAsia="Arial" w:hAnsi="Arial"/>
          <w:sz w:val="18"/>
          <w:szCs w:val="18"/>
          <w:color w:val="1D1D1D"/>
        </w:rPr>
        <w:t>ec</w:t>
      </w:r>
      <w:r>
        <w:rPr>
          <w:rFonts w:ascii="Arial" w:cs="Arial" w:eastAsia="Arial" w:hAnsi="Arial"/>
          <w:sz w:val="18"/>
          <w:szCs w:val="18"/>
          <w:color w:val="0E0E0E"/>
        </w:rPr>
        <w:t>t</w:t>
      </w:r>
      <w:r>
        <w:rPr>
          <w:rFonts w:ascii="Arial" w:cs="Arial" w:eastAsia="Arial" w:hAnsi="Arial"/>
          <w:sz w:val="18"/>
          <w:szCs w:val="18"/>
          <w:color w:val="1D1D1D"/>
        </w:rPr>
        <w:t xml:space="preserve">ors of </w:t>
      </w:r>
      <w:r>
        <w:rPr>
          <w:rFonts w:ascii="Arial" w:cs="Arial" w:eastAsia="Arial" w:hAnsi="Arial"/>
          <w:sz w:val="18"/>
          <w:szCs w:val="18"/>
          <w:color w:val="0E0E0E"/>
        </w:rPr>
        <w:t>th</w:t>
      </w:r>
      <w:r>
        <w:rPr>
          <w:rFonts w:ascii="Arial" w:cs="Arial" w:eastAsia="Arial" w:hAnsi="Arial"/>
          <w:sz w:val="18"/>
          <w:szCs w:val="18"/>
          <w:color w:val="1D1D1D"/>
        </w:rPr>
        <w:t>e Co</w:t>
      </w:r>
      <w:r>
        <w:rPr>
          <w:rFonts w:ascii="Arial" w:cs="Arial" w:eastAsia="Arial" w:hAnsi="Arial"/>
          <w:sz w:val="18"/>
          <w:szCs w:val="18"/>
          <w:color w:val="0E0E0E"/>
        </w:rPr>
        <w:t>rp</w:t>
      </w:r>
      <w:r>
        <w:rPr>
          <w:rFonts w:ascii="Arial" w:cs="Arial" w:eastAsia="Arial" w:hAnsi="Arial"/>
          <w:sz w:val="18"/>
          <w:szCs w:val="18"/>
          <w:color w:val="1D1D1D"/>
        </w:rPr>
        <w:t>o</w:t>
      </w:r>
      <w:r>
        <w:rPr>
          <w:rFonts w:ascii="Arial" w:cs="Arial" w:eastAsia="Arial" w:hAnsi="Arial"/>
          <w:sz w:val="18"/>
          <w:szCs w:val="18"/>
          <w:color w:val="0E0E0E"/>
        </w:rPr>
        <w:t>rati</w:t>
      </w:r>
      <w:r>
        <w:rPr>
          <w:rFonts w:ascii="Arial" w:cs="Arial" w:eastAsia="Arial" w:hAnsi="Arial"/>
          <w:sz w:val="18"/>
          <w:szCs w:val="18"/>
          <w:color w:val="1D1D1D"/>
        </w:rPr>
        <w:t>o</w:t>
      </w:r>
      <w:r>
        <w:rPr>
          <w:rFonts w:ascii="Arial" w:cs="Arial" w:eastAsia="Arial" w:hAnsi="Arial"/>
          <w:sz w:val="18"/>
          <w:szCs w:val="18"/>
          <w:color w:val="0E0E0E"/>
        </w:rPr>
        <w:t>n (the</w:t>
      </w:r>
      <w:r>
        <w:rPr>
          <w:rFonts w:ascii="Arial" w:cs="Arial" w:eastAsia="Arial" w:hAnsi="Arial"/>
          <w:sz w:val="18"/>
          <w:szCs w:val="18"/>
          <w:color w:val="1D1D1D"/>
        </w:rPr>
        <w:t xml:space="preserve"> "</w:t>
      </w:r>
      <w:r>
        <w:rPr>
          <w:rFonts w:ascii="Arial" w:cs="Arial" w:eastAsia="Arial" w:hAnsi="Arial"/>
          <w:sz w:val="18"/>
          <w:szCs w:val="18"/>
          <w:color w:val="0E0E0E"/>
        </w:rPr>
        <w:t>Bo</w:t>
      </w:r>
      <w:r>
        <w:rPr>
          <w:rFonts w:ascii="Arial" w:cs="Arial" w:eastAsia="Arial" w:hAnsi="Arial"/>
          <w:sz w:val="18"/>
          <w:szCs w:val="18"/>
          <w:color w:val="1D1D1D"/>
        </w:rPr>
        <w:t>a</w:t>
      </w:r>
      <w:r>
        <w:rPr>
          <w:rFonts w:ascii="Arial" w:cs="Arial" w:eastAsia="Arial" w:hAnsi="Arial"/>
          <w:sz w:val="18"/>
          <w:szCs w:val="18"/>
          <w:color w:val="0E0E0E"/>
        </w:rPr>
        <w:t>rd</w:t>
      </w:r>
      <w:r>
        <w:rPr>
          <w:rFonts w:ascii="Arial" w:cs="Arial" w:eastAsia="Arial" w:hAnsi="Arial"/>
          <w:sz w:val="18"/>
          <w:szCs w:val="18"/>
          <w:color w:val="1D1D1D"/>
        </w:rPr>
        <w:t xml:space="preserve">"), </w:t>
      </w:r>
      <w:r>
        <w:rPr>
          <w:rFonts w:ascii="Arial" w:cs="Arial" w:eastAsia="Arial" w:hAnsi="Arial"/>
          <w:sz w:val="18"/>
          <w:szCs w:val="18"/>
          <w:color w:val="333333"/>
        </w:rPr>
        <w:t>a</w:t>
      </w:r>
      <w:r>
        <w:rPr>
          <w:rFonts w:ascii="Arial" w:cs="Arial" w:eastAsia="Arial" w:hAnsi="Arial"/>
          <w:sz w:val="18"/>
          <w:szCs w:val="18"/>
          <w:color w:val="1D1D1D"/>
        </w:rPr>
        <w:t>ctin</w:t>
      </w:r>
      <w:r>
        <w:rPr>
          <w:rFonts w:ascii="Arial" w:cs="Arial" w:eastAsia="Arial" w:hAnsi="Arial"/>
          <w:sz w:val="18"/>
          <w:szCs w:val="18"/>
          <w:color w:val="0E0E0E"/>
        </w:rPr>
        <w:t>g</w:t>
      </w:r>
      <w:r>
        <w:rPr>
          <w:rFonts w:ascii="Arial" w:cs="Arial" w:eastAsia="Arial" w:hAnsi="Arial"/>
          <w:sz w:val="18"/>
          <w:szCs w:val="18"/>
          <w:color w:val="1D1D1D"/>
        </w:rPr>
        <w:t xml:space="preserve"> in acco</w:t>
      </w:r>
      <w:r>
        <w:rPr>
          <w:rFonts w:ascii="Arial" w:cs="Arial" w:eastAsia="Arial" w:hAnsi="Arial"/>
          <w:sz w:val="18"/>
          <w:szCs w:val="18"/>
          <w:color w:val="0E0E0E"/>
        </w:rPr>
        <w:t>r</w:t>
      </w:r>
      <w:r>
        <w:rPr>
          <w:rFonts w:ascii="Arial" w:cs="Arial" w:eastAsia="Arial" w:hAnsi="Arial"/>
          <w:sz w:val="18"/>
          <w:szCs w:val="18"/>
          <w:color w:val="1D1D1D"/>
        </w:rPr>
        <w:t>d</w:t>
      </w:r>
      <w:r>
        <w:rPr>
          <w:rFonts w:ascii="Arial" w:cs="Arial" w:eastAsia="Arial" w:hAnsi="Arial"/>
          <w:sz w:val="18"/>
          <w:szCs w:val="18"/>
          <w:color w:val="0E0E0E"/>
        </w:rPr>
        <w:t>an</w:t>
      </w:r>
      <w:r>
        <w:rPr>
          <w:rFonts w:ascii="Arial" w:cs="Arial" w:eastAsia="Arial" w:hAnsi="Arial"/>
          <w:sz w:val="18"/>
          <w:szCs w:val="18"/>
          <w:color w:val="1D1D1D"/>
        </w:rPr>
        <w:t xml:space="preserve">ce </w:t>
      </w:r>
      <w:r>
        <w:rPr>
          <w:rFonts w:ascii="Arial" w:cs="Arial" w:eastAsia="Arial" w:hAnsi="Arial"/>
          <w:sz w:val="18"/>
          <w:szCs w:val="18"/>
          <w:color w:val="0E0E0E"/>
        </w:rPr>
        <w:t>wi</w:t>
      </w:r>
      <w:r>
        <w:rPr>
          <w:rFonts w:ascii="Arial" w:cs="Arial" w:eastAsia="Arial" w:hAnsi="Arial"/>
          <w:sz w:val="18"/>
          <w:szCs w:val="18"/>
          <w:color w:val="1D1D1D"/>
        </w:rPr>
        <w:t>t</w:t>
      </w:r>
      <w:r>
        <w:rPr>
          <w:rFonts w:ascii="Arial" w:cs="Arial" w:eastAsia="Arial" w:hAnsi="Arial"/>
          <w:sz w:val="18"/>
          <w:szCs w:val="18"/>
          <w:color w:val="0E0E0E"/>
        </w:rPr>
        <w:t>h</w:t>
      </w:r>
    </w:p>
    <w:p>
      <w:pPr>
        <w:spacing w:after="0" w:line="36" w:lineRule="exact"/>
        <w:rPr>
          <w:sz w:val="20"/>
          <w:szCs w:val="20"/>
          <w:color w:val="auto"/>
        </w:rPr>
      </w:pPr>
    </w:p>
    <w:p>
      <w:pPr>
        <w:ind w:left="840" w:right="240"/>
        <w:spacing w:after="0" w:line="360" w:lineRule="auto"/>
        <w:rPr>
          <w:sz w:val="20"/>
          <w:szCs w:val="20"/>
          <w:color w:val="auto"/>
        </w:rPr>
      </w:pPr>
      <w:r>
        <w:rPr>
          <w:rFonts w:ascii="Arial" w:cs="Arial" w:eastAsia="Arial" w:hAnsi="Arial"/>
          <w:sz w:val="16"/>
          <w:szCs w:val="16"/>
          <w:color w:val="0E0E0E"/>
        </w:rPr>
        <w:t>the prov</w:t>
      </w:r>
      <w:r>
        <w:rPr>
          <w:rFonts w:ascii="Arial" w:cs="Arial" w:eastAsia="Arial" w:hAnsi="Arial"/>
          <w:sz w:val="16"/>
          <w:szCs w:val="16"/>
          <w:color w:val="1D1D1D"/>
        </w:rPr>
        <w:t>is</w:t>
      </w:r>
      <w:r>
        <w:rPr>
          <w:rFonts w:ascii="Arial" w:cs="Arial" w:eastAsia="Arial" w:hAnsi="Arial"/>
          <w:sz w:val="16"/>
          <w:szCs w:val="16"/>
          <w:color w:val="0E0E0E"/>
        </w:rPr>
        <w:t>io</w:t>
      </w:r>
      <w:r>
        <w:rPr>
          <w:rFonts w:ascii="Arial" w:cs="Arial" w:eastAsia="Arial" w:hAnsi="Arial"/>
          <w:sz w:val="16"/>
          <w:szCs w:val="16"/>
          <w:color w:val="1D1D1D"/>
        </w:rPr>
        <w:t>ns of</w:t>
      </w:r>
      <w:r>
        <w:rPr>
          <w:rFonts w:ascii="Arial" w:cs="Arial" w:eastAsia="Arial" w:hAnsi="Arial"/>
          <w:sz w:val="16"/>
          <w:szCs w:val="16"/>
          <w:color w:val="0E0E0E"/>
        </w:rPr>
        <w:t xml:space="preserve"> Sect</w:t>
      </w:r>
      <w:r>
        <w:rPr>
          <w:rFonts w:ascii="Arial" w:cs="Arial" w:eastAsia="Arial" w:hAnsi="Arial"/>
          <w:sz w:val="16"/>
          <w:szCs w:val="16"/>
          <w:color w:val="1D1D1D"/>
        </w:rPr>
        <w:t>io</w:t>
      </w:r>
      <w:r>
        <w:rPr>
          <w:rFonts w:ascii="Arial" w:cs="Arial" w:eastAsia="Arial" w:hAnsi="Arial"/>
          <w:sz w:val="16"/>
          <w:szCs w:val="16"/>
          <w:color w:val="0E0E0E"/>
        </w:rPr>
        <w:t xml:space="preserve">ns 141 </w:t>
      </w:r>
      <w:r>
        <w:rPr>
          <w:rFonts w:ascii="Arial" w:cs="Arial" w:eastAsia="Arial" w:hAnsi="Arial"/>
          <w:sz w:val="16"/>
          <w:szCs w:val="16"/>
          <w:color w:val="1D1D1D"/>
        </w:rPr>
        <w:t>a</w:t>
      </w:r>
      <w:r>
        <w:rPr>
          <w:rFonts w:ascii="Arial" w:cs="Arial" w:eastAsia="Arial" w:hAnsi="Arial"/>
          <w:sz w:val="16"/>
          <w:szCs w:val="16"/>
          <w:color w:val="0E0E0E"/>
        </w:rPr>
        <w:t xml:space="preserve">nd </w:t>
      </w:r>
      <w:r>
        <w:rPr>
          <w:rFonts w:ascii="Arial" w:cs="Arial" w:eastAsia="Arial" w:hAnsi="Arial"/>
          <w:sz w:val="16"/>
          <w:szCs w:val="16"/>
          <w:color w:val="1D1D1D"/>
        </w:rPr>
        <w:t>2</w:t>
      </w:r>
      <w:r>
        <w:rPr>
          <w:rFonts w:ascii="Arial" w:cs="Arial" w:eastAsia="Arial" w:hAnsi="Arial"/>
          <w:sz w:val="16"/>
          <w:szCs w:val="16"/>
          <w:color w:val="0E0E0E"/>
        </w:rPr>
        <w:t>4</w:t>
      </w:r>
      <w:r>
        <w:rPr>
          <w:rFonts w:ascii="Arial" w:cs="Arial" w:eastAsia="Arial" w:hAnsi="Arial"/>
          <w:sz w:val="16"/>
          <w:szCs w:val="16"/>
          <w:color w:val="1D1D1D"/>
        </w:rPr>
        <w:t>2 o</w:t>
      </w:r>
      <w:r>
        <w:rPr>
          <w:rFonts w:ascii="Arial" w:cs="Arial" w:eastAsia="Arial" w:hAnsi="Arial"/>
          <w:sz w:val="16"/>
          <w:szCs w:val="16"/>
          <w:color w:val="0E0E0E"/>
        </w:rPr>
        <w:t>f the G</w:t>
      </w:r>
      <w:r>
        <w:rPr>
          <w:rFonts w:ascii="Arial" w:cs="Arial" w:eastAsia="Arial" w:hAnsi="Arial"/>
          <w:sz w:val="16"/>
          <w:szCs w:val="16"/>
          <w:color w:val="1D1D1D"/>
        </w:rPr>
        <w:t>e</w:t>
      </w:r>
      <w:r>
        <w:rPr>
          <w:rFonts w:ascii="Arial" w:cs="Arial" w:eastAsia="Arial" w:hAnsi="Arial"/>
          <w:sz w:val="16"/>
          <w:szCs w:val="16"/>
          <w:color w:val="0E0E0E"/>
        </w:rPr>
        <w:t>n</w:t>
      </w:r>
      <w:r>
        <w:rPr>
          <w:rFonts w:ascii="Arial" w:cs="Arial" w:eastAsia="Arial" w:hAnsi="Arial"/>
          <w:sz w:val="16"/>
          <w:szCs w:val="16"/>
          <w:color w:val="1D1D1D"/>
        </w:rPr>
        <w:t>era</w:t>
      </w:r>
      <w:r>
        <w:rPr>
          <w:rFonts w:ascii="Arial" w:cs="Arial" w:eastAsia="Arial" w:hAnsi="Arial"/>
          <w:sz w:val="16"/>
          <w:szCs w:val="16"/>
          <w:color w:val="0E0E0E"/>
        </w:rPr>
        <w:t xml:space="preserve">l </w:t>
      </w:r>
      <w:r>
        <w:rPr>
          <w:rFonts w:ascii="Arial" w:cs="Arial" w:eastAsia="Arial" w:hAnsi="Arial"/>
          <w:sz w:val="16"/>
          <w:szCs w:val="16"/>
          <w:color w:val="1D1D1D"/>
        </w:rPr>
        <w:t>Co</w:t>
      </w:r>
      <w:r>
        <w:rPr>
          <w:rFonts w:ascii="Arial" w:cs="Arial" w:eastAsia="Arial" w:hAnsi="Arial"/>
          <w:sz w:val="16"/>
          <w:szCs w:val="16"/>
          <w:color w:val="0E0E0E"/>
        </w:rPr>
        <w:t>rp</w:t>
      </w:r>
      <w:r>
        <w:rPr>
          <w:rFonts w:ascii="Arial" w:cs="Arial" w:eastAsia="Arial" w:hAnsi="Arial"/>
          <w:sz w:val="16"/>
          <w:szCs w:val="16"/>
          <w:color w:val="1D1D1D"/>
        </w:rPr>
        <w:t>oratio</w:t>
      </w:r>
      <w:r>
        <w:rPr>
          <w:rFonts w:ascii="Arial" w:cs="Arial" w:eastAsia="Arial" w:hAnsi="Arial"/>
          <w:sz w:val="16"/>
          <w:szCs w:val="16"/>
          <w:color w:val="0E0E0E"/>
        </w:rPr>
        <w:t xml:space="preserve">n </w:t>
      </w:r>
      <w:r>
        <w:rPr>
          <w:rFonts w:ascii="Arial" w:cs="Arial" w:eastAsia="Arial" w:hAnsi="Arial"/>
          <w:sz w:val="16"/>
          <w:szCs w:val="16"/>
          <w:color w:val="1D1D1D"/>
        </w:rPr>
        <w:t>Law of t</w:t>
      </w:r>
      <w:r>
        <w:rPr>
          <w:rFonts w:ascii="Arial" w:cs="Arial" w:eastAsia="Arial" w:hAnsi="Arial"/>
          <w:sz w:val="16"/>
          <w:szCs w:val="16"/>
          <w:color w:val="0E0E0E"/>
        </w:rPr>
        <w:t>h</w:t>
      </w:r>
      <w:r>
        <w:rPr>
          <w:rFonts w:ascii="Arial" w:cs="Arial" w:eastAsia="Arial" w:hAnsi="Arial"/>
          <w:sz w:val="16"/>
          <w:szCs w:val="16"/>
          <w:color w:val="1D1D1D"/>
        </w:rPr>
        <w:t>e S</w:t>
      </w:r>
      <w:r>
        <w:rPr>
          <w:rFonts w:ascii="Arial" w:cs="Arial" w:eastAsia="Arial" w:hAnsi="Arial"/>
          <w:sz w:val="16"/>
          <w:szCs w:val="16"/>
          <w:color w:val="0E0E0E"/>
        </w:rPr>
        <w:t>ta</w:t>
      </w:r>
      <w:r>
        <w:rPr>
          <w:rFonts w:ascii="Arial" w:cs="Arial" w:eastAsia="Arial" w:hAnsi="Arial"/>
          <w:sz w:val="16"/>
          <w:szCs w:val="16"/>
          <w:color w:val="1D1D1D"/>
        </w:rPr>
        <w:t>te o</w:t>
      </w:r>
      <w:r>
        <w:rPr>
          <w:rFonts w:ascii="Arial" w:cs="Arial" w:eastAsia="Arial" w:hAnsi="Arial"/>
          <w:sz w:val="16"/>
          <w:szCs w:val="16"/>
          <w:color w:val="0E0E0E"/>
        </w:rPr>
        <w:t>f D</w:t>
      </w:r>
      <w:r>
        <w:rPr>
          <w:rFonts w:ascii="Arial" w:cs="Arial" w:eastAsia="Arial" w:hAnsi="Arial"/>
          <w:sz w:val="16"/>
          <w:szCs w:val="16"/>
          <w:color w:val="1D1D1D"/>
        </w:rPr>
        <w:t>e</w:t>
      </w:r>
      <w:r>
        <w:rPr>
          <w:rFonts w:ascii="Arial" w:cs="Arial" w:eastAsia="Arial" w:hAnsi="Arial"/>
          <w:sz w:val="16"/>
          <w:szCs w:val="16"/>
          <w:color w:val="0E0E0E"/>
        </w:rPr>
        <w:t>lawar</w:t>
      </w:r>
      <w:r>
        <w:rPr>
          <w:rFonts w:ascii="Arial" w:cs="Arial" w:eastAsia="Arial" w:hAnsi="Arial"/>
          <w:sz w:val="16"/>
          <w:szCs w:val="16"/>
          <w:color w:val="1D1D1D"/>
        </w:rPr>
        <w:t>e</w:t>
      </w:r>
      <w:r>
        <w:rPr>
          <w:rFonts w:ascii="Arial" w:cs="Arial" w:eastAsia="Arial" w:hAnsi="Arial"/>
          <w:sz w:val="16"/>
          <w:szCs w:val="16"/>
          <w:color w:val="333333"/>
        </w:rPr>
        <w:t>,</w:t>
      </w:r>
      <w:r>
        <w:rPr>
          <w:rFonts w:ascii="Arial" w:cs="Arial" w:eastAsia="Arial" w:hAnsi="Arial"/>
          <w:sz w:val="16"/>
          <w:szCs w:val="16"/>
          <w:color w:val="0E0E0E"/>
        </w:rPr>
        <w:t xml:space="preserve"> ad</w:t>
      </w:r>
      <w:r>
        <w:rPr>
          <w:rFonts w:ascii="Arial" w:cs="Arial" w:eastAsia="Arial" w:hAnsi="Arial"/>
          <w:sz w:val="16"/>
          <w:szCs w:val="16"/>
          <w:color w:val="1D1D1D"/>
        </w:rPr>
        <w:t>o</w:t>
      </w:r>
      <w:r>
        <w:rPr>
          <w:rFonts w:ascii="Arial" w:cs="Arial" w:eastAsia="Arial" w:hAnsi="Arial"/>
          <w:sz w:val="16"/>
          <w:szCs w:val="16"/>
          <w:color w:val="0E0E0E"/>
        </w:rPr>
        <w:t>pt</w:t>
      </w:r>
      <w:r>
        <w:rPr>
          <w:rFonts w:ascii="Arial" w:cs="Arial" w:eastAsia="Arial" w:hAnsi="Arial"/>
          <w:sz w:val="16"/>
          <w:szCs w:val="16"/>
          <w:color w:val="1D1D1D"/>
        </w:rPr>
        <w:t>e</w:t>
      </w:r>
      <w:r>
        <w:rPr>
          <w:rFonts w:ascii="Arial" w:cs="Arial" w:eastAsia="Arial" w:hAnsi="Arial"/>
          <w:sz w:val="16"/>
          <w:szCs w:val="16"/>
          <w:color w:val="0E0E0E"/>
        </w:rPr>
        <w:t>d r</w:t>
      </w:r>
      <w:r>
        <w:rPr>
          <w:rFonts w:ascii="Arial" w:cs="Arial" w:eastAsia="Arial" w:hAnsi="Arial"/>
          <w:sz w:val="16"/>
          <w:szCs w:val="16"/>
          <w:color w:val="1D1D1D"/>
        </w:rPr>
        <w:t>eso</w:t>
      </w:r>
      <w:r>
        <w:rPr>
          <w:rFonts w:ascii="Arial" w:cs="Arial" w:eastAsia="Arial" w:hAnsi="Arial"/>
          <w:sz w:val="16"/>
          <w:szCs w:val="16"/>
          <w:color w:val="0E0E0E"/>
        </w:rPr>
        <w:t>lut</w:t>
      </w:r>
      <w:r>
        <w:rPr>
          <w:rFonts w:ascii="Arial" w:cs="Arial" w:eastAsia="Arial" w:hAnsi="Arial"/>
          <w:sz w:val="16"/>
          <w:szCs w:val="16"/>
          <w:color w:val="1D1D1D"/>
        </w:rPr>
        <w:t>io</w:t>
      </w:r>
      <w:r>
        <w:rPr>
          <w:rFonts w:ascii="Arial" w:cs="Arial" w:eastAsia="Arial" w:hAnsi="Arial"/>
          <w:sz w:val="16"/>
          <w:szCs w:val="16"/>
          <w:color w:val="0E0E0E"/>
        </w:rPr>
        <w:t>n</w:t>
      </w:r>
      <w:r>
        <w:rPr>
          <w:rFonts w:ascii="Arial" w:cs="Arial" w:eastAsia="Arial" w:hAnsi="Arial"/>
          <w:sz w:val="16"/>
          <w:szCs w:val="16"/>
          <w:color w:val="1D1D1D"/>
        </w:rPr>
        <w:t>s</w:t>
      </w:r>
      <w:r>
        <w:rPr>
          <w:rFonts w:ascii="Arial" w:cs="Arial" w:eastAsia="Arial" w:hAnsi="Arial"/>
          <w:sz w:val="16"/>
          <w:szCs w:val="16"/>
          <w:color w:val="0E0E0E"/>
        </w:rPr>
        <w:t xml:space="preserve"> t</w:t>
      </w:r>
      <w:r>
        <w:rPr>
          <w:rFonts w:ascii="Arial" w:cs="Arial" w:eastAsia="Arial" w:hAnsi="Arial"/>
          <w:sz w:val="16"/>
          <w:szCs w:val="16"/>
          <w:color w:val="1D1D1D"/>
        </w:rPr>
        <w:t>o</w:t>
      </w:r>
      <w:r>
        <w:rPr>
          <w:rFonts w:ascii="Arial" w:cs="Arial" w:eastAsia="Arial" w:hAnsi="Arial"/>
          <w:sz w:val="16"/>
          <w:szCs w:val="16"/>
          <w:color w:val="0E0E0E"/>
        </w:rPr>
        <w:t xml:space="preserve"> amend and resta</w:t>
      </w:r>
      <w:r>
        <w:rPr>
          <w:rFonts w:ascii="Arial" w:cs="Arial" w:eastAsia="Arial" w:hAnsi="Arial"/>
          <w:sz w:val="16"/>
          <w:szCs w:val="16"/>
          <w:color w:val="1D1D1D"/>
        </w:rPr>
        <w:t>t</w:t>
      </w:r>
      <w:r>
        <w:rPr>
          <w:rFonts w:ascii="Arial" w:cs="Arial" w:eastAsia="Arial" w:hAnsi="Arial"/>
          <w:sz w:val="16"/>
          <w:szCs w:val="16"/>
          <w:color w:val="0E0E0E"/>
        </w:rPr>
        <w:t xml:space="preserve">e </w:t>
      </w:r>
      <w:r>
        <w:rPr>
          <w:rFonts w:ascii="Arial" w:cs="Arial" w:eastAsia="Arial" w:hAnsi="Arial"/>
          <w:sz w:val="16"/>
          <w:szCs w:val="16"/>
          <w:color w:val="1D1D1D"/>
        </w:rPr>
        <w:t>t</w:t>
      </w:r>
      <w:r>
        <w:rPr>
          <w:rFonts w:ascii="Arial" w:cs="Arial" w:eastAsia="Arial" w:hAnsi="Arial"/>
          <w:sz w:val="16"/>
          <w:szCs w:val="16"/>
          <w:color w:val="0E0E0E"/>
        </w:rPr>
        <w:t xml:space="preserve">he </w:t>
      </w:r>
      <w:r>
        <w:rPr>
          <w:rFonts w:ascii="Arial" w:cs="Arial" w:eastAsia="Arial" w:hAnsi="Arial"/>
          <w:sz w:val="16"/>
          <w:szCs w:val="16"/>
          <w:color w:val="1D1D1D"/>
        </w:rPr>
        <w:t>FOURTH</w:t>
      </w:r>
      <w:r>
        <w:rPr>
          <w:rFonts w:ascii="Arial" w:cs="Arial" w:eastAsia="Arial" w:hAnsi="Arial"/>
          <w:sz w:val="16"/>
          <w:szCs w:val="16"/>
          <w:color w:val="0E0E0E"/>
        </w:rPr>
        <w:t xml:space="preserve"> a</w:t>
      </w:r>
      <w:r>
        <w:rPr>
          <w:rFonts w:ascii="Arial" w:cs="Arial" w:eastAsia="Arial" w:hAnsi="Arial"/>
          <w:sz w:val="16"/>
          <w:szCs w:val="16"/>
          <w:color w:val="1D1D1D"/>
        </w:rPr>
        <w:t>rticle of</w:t>
      </w:r>
      <w:r>
        <w:rPr>
          <w:rFonts w:ascii="Arial" w:cs="Arial" w:eastAsia="Arial" w:hAnsi="Arial"/>
          <w:sz w:val="16"/>
          <w:szCs w:val="16"/>
          <w:color w:val="0E0E0E"/>
        </w:rPr>
        <w:t xml:space="preserve"> </w:t>
      </w:r>
      <w:r>
        <w:rPr>
          <w:rFonts w:ascii="Arial" w:cs="Arial" w:eastAsia="Arial" w:hAnsi="Arial"/>
          <w:sz w:val="16"/>
          <w:szCs w:val="16"/>
          <w:color w:val="333333"/>
        </w:rPr>
        <w:t>t</w:t>
      </w:r>
      <w:r>
        <w:rPr>
          <w:rFonts w:ascii="Arial" w:cs="Arial" w:eastAsia="Arial" w:hAnsi="Arial"/>
          <w:sz w:val="16"/>
          <w:szCs w:val="16"/>
          <w:color w:val="0E0E0E"/>
        </w:rPr>
        <w:t>h</w:t>
      </w:r>
      <w:r>
        <w:rPr>
          <w:rFonts w:ascii="Arial" w:cs="Arial" w:eastAsia="Arial" w:hAnsi="Arial"/>
          <w:sz w:val="16"/>
          <w:szCs w:val="16"/>
          <w:color w:val="1D1D1D"/>
        </w:rPr>
        <w:t>e</w:t>
      </w:r>
      <w:r>
        <w:rPr>
          <w:rFonts w:ascii="Arial" w:cs="Arial" w:eastAsia="Arial" w:hAnsi="Arial"/>
          <w:sz w:val="16"/>
          <w:szCs w:val="16"/>
          <w:color w:val="0E0E0E"/>
        </w:rPr>
        <w:t xml:space="preserve"> Amended and R</w:t>
      </w:r>
      <w:r>
        <w:rPr>
          <w:rFonts w:ascii="Arial" w:cs="Arial" w:eastAsia="Arial" w:hAnsi="Arial"/>
          <w:sz w:val="16"/>
          <w:szCs w:val="16"/>
          <w:color w:val="1D1D1D"/>
        </w:rPr>
        <w:t>es</w:t>
      </w:r>
      <w:r>
        <w:rPr>
          <w:rFonts w:ascii="Arial" w:cs="Arial" w:eastAsia="Arial" w:hAnsi="Arial"/>
          <w:sz w:val="16"/>
          <w:szCs w:val="16"/>
          <w:color w:val="0E0E0E"/>
        </w:rPr>
        <w:t xml:space="preserve">tated </w:t>
      </w:r>
      <w:r>
        <w:rPr>
          <w:rFonts w:ascii="Arial" w:cs="Arial" w:eastAsia="Arial" w:hAnsi="Arial"/>
          <w:sz w:val="16"/>
          <w:szCs w:val="16"/>
          <w:color w:val="1D1D1D"/>
        </w:rPr>
        <w:t>Ce</w:t>
      </w:r>
      <w:r>
        <w:rPr>
          <w:rFonts w:ascii="Arial" w:cs="Arial" w:eastAsia="Arial" w:hAnsi="Arial"/>
          <w:sz w:val="16"/>
          <w:szCs w:val="16"/>
          <w:color w:val="0E0E0E"/>
        </w:rPr>
        <w:t>rtifi</w:t>
      </w:r>
      <w:r>
        <w:rPr>
          <w:rFonts w:ascii="Arial" w:cs="Arial" w:eastAsia="Arial" w:hAnsi="Arial"/>
          <w:sz w:val="16"/>
          <w:szCs w:val="16"/>
          <w:color w:val="1D1D1D"/>
        </w:rPr>
        <w:t>ca</w:t>
      </w:r>
      <w:r>
        <w:rPr>
          <w:rFonts w:ascii="Arial" w:cs="Arial" w:eastAsia="Arial" w:hAnsi="Arial"/>
          <w:sz w:val="16"/>
          <w:szCs w:val="16"/>
          <w:color w:val="0E0E0E"/>
        </w:rPr>
        <w:t>t</w:t>
      </w:r>
      <w:r>
        <w:rPr>
          <w:rFonts w:ascii="Arial" w:cs="Arial" w:eastAsia="Arial" w:hAnsi="Arial"/>
          <w:sz w:val="16"/>
          <w:szCs w:val="16"/>
          <w:color w:val="1D1D1D"/>
        </w:rPr>
        <w:t>e of</w:t>
      </w:r>
      <w:r>
        <w:rPr>
          <w:rFonts w:ascii="Arial" w:cs="Arial" w:eastAsia="Arial" w:hAnsi="Arial"/>
          <w:sz w:val="16"/>
          <w:szCs w:val="16"/>
          <w:color w:val="0E0E0E"/>
        </w:rPr>
        <w:t xml:space="preserve"> In</w:t>
      </w:r>
      <w:r>
        <w:rPr>
          <w:rFonts w:ascii="Arial" w:cs="Arial" w:eastAsia="Arial" w:hAnsi="Arial"/>
          <w:sz w:val="16"/>
          <w:szCs w:val="16"/>
          <w:color w:val="1D1D1D"/>
        </w:rPr>
        <w:t>co</w:t>
      </w:r>
      <w:r>
        <w:rPr>
          <w:rFonts w:ascii="Arial" w:cs="Arial" w:eastAsia="Arial" w:hAnsi="Arial"/>
          <w:sz w:val="16"/>
          <w:szCs w:val="16"/>
          <w:color w:val="0E0E0E"/>
        </w:rPr>
        <w:t>rp</w:t>
      </w:r>
      <w:r>
        <w:rPr>
          <w:rFonts w:ascii="Arial" w:cs="Arial" w:eastAsia="Arial" w:hAnsi="Arial"/>
          <w:sz w:val="16"/>
          <w:szCs w:val="16"/>
          <w:color w:val="1D1D1D"/>
        </w:rPr>
        <w:t>o</w:t>
      </w:r>
      <w:r>
        <w:rPr>
          <w:rFonts w:ascii="Arial" w:cs="Arial" w:eastAsia="Arial" w:hAnsi="Arial"/>
          <w:sz w:val="16"/>
          <w:szCs w:val="16"/>
          <w:color w:val="0E0E0E"/>
        </w:rPr>
        <w:t>rati</w:t>
      </w:r>
      <w:r>
        <w:rPr>
          <w:rFonts w:ascii="Arial" w:cs="Arial" w:eastAsia="Arial" w:hAnsi="Arial"/>
          <w:sz w:val="16"/>
          <w:szCs w:val="16"/>
          <w:color w:val="1D1D1D"/>
        </w:rPr>
        <w:t>o</w:t>
      </w:r>
      <w:r>
        <w:rPr>
          <w:rFonts w:ascii="Arial" w:cs="Arial" w:eastAsia="Arial" w:hAnsi="Arial"/>
          <w:sz w:val="16"/>
          <w:szCs w:val="16"/>
          <w:color w:val="0E0E0E"/>
        </w:rPr>
        <w:t>n t</w:t>
      </w:r>
      <w:r>
        <w:rPr>
          <w:rFonts w:ascii="Arial" w:cs="Arial" w:eastAsia="Arial" w:hAnsi="Arial"/>
          <w:sz w:val="16"/>
          <w:szCs w:val="16"/>
          <w:color w:val="1D1D1D"/>
        </w:rPr>
        <w:t>o</w:t>
      </w:r>
      <w:r>
        <w:rPr>
          <w:rFonts w:ascii="Arial" w:cs="Arial" w:eastAsia="Arial" w:hAnsi="Arial"/>
          <w:sz w:val="16"/>
          <w:szCs w:val="16"/>
          <w:color w:val="0E0E0E"/>
        </w:rPr>
        <w:t xml:space="preserve"> r</w:t>
      </w:r>
      <w:r>
        <w:rPr>
          <w:rFonts w:ascii="Arial" w:cs="Arial" w:eastAsia="Arial" w:hAnsi="Arial"/>
          <w:sz w:val="16"/>
          <w:szCs w:val="16"/>
          <w:color w:val="1D1D1D"/>
        </w:rPr>
        <w:t>ead</w:t>
      </w:r>
      <w:r>
        <w:rPr>
          <w:rFonts w:ascii="Arial" w:cs="Arial" w:eastAsia="Arial" w:hAnsi="Arial"/>
          <w:sz w:val="16"/>
          <w:szCs w:val="16"/>
          <w:color w:val="0E0E0E"/>
        </w:rPr>
        <w:t xml:space="preserve"> </w:t>
      </w:r>
      <w:r>
        <w:rPr>
          <w:rFonts w:ascii="Arial" w:cs="Arial" w:eastAsia="Arial" w:hAnsi="Arial"/>
          <w:sz w:val="16"/>
          <w:szCs w:val="16"/>
          <w:color w:val="1D1D1D"/>
        </w:rPr>
        <w:t>in</w:t>
      </w:r>
      <w:r>
        <w:rPr>
          <w:rFonts w:ascii="Arial" w:cs="Arial" w:eastAsia="Arial" w:hAnsi="Arial"/>
          <w:sz w:val="16"/>
          <w:szCs w:val="16"/>
          <w:color w:val="0E0E0E"/>
        </w:rPr>
        <w:t xml:space="preserve"> </w:t>
      </w:r>
      <w:r>
        <w:rPr>
          <w:rFonts w:ascii="Arial" w:cs="Arial" w:eastAsia="Arial" w:hAnsi="Arial"/>
          <w:sz w:val="16"/>
          <w:szCs w:val="16"/>
          <w:color w:val="1D1D1D"/>
        </w:rPr>
        <w:t>its e</w:t>
      </w:r>
      <w:r>
        <w:rPr>
          <w:rFonts w:ascii="Arial" w:cs="Arial" w:eastAsia="Arial" w:hAnsi="Arial"/>
          <w:sz w:val="16"/>
          <w:szCs w:val="16"/>
          <w:color w:val="0E0E0E"/>
        </w:rPr>
        <w:t>n</w:t>
      </w:r>
      <w:r>
        <w:rPr>
          <w:rFonts w:ascii="Arial" w:cs="Arial" w:eastAsia="Arial" w:hAnsi="Arial"/>
          <w:sz w:val="16"/>
          <w:szCs w:val="16"/>
          <w:color w:val="1D1D1D"/>
        </w:rPr>
        <w:t>tirety as fo</w:t>
      </w:r>
      <w:r>
        <w:rPr>
          <w:rFonts w:ascii="Arial" w:cs="Arial" w:eastAsia="Arial" w:hAnsi="Arial"/>
          <w:sz w:val="16"/>
          <w:szCs w:val="16"/>
          <w:color w:val="0E0E0E"/>
        </w:rPr>
        <w:t>ll</w:t>
      </w:r>
      <w:r>
        <w:rPr>
          <w:rFonts w:ascii="Arial" w:cs="Arial" w:eastAsia="Arial" w:hAnsi="Arial"/>
          <w:sz w:val="16"/>
          <w:szCs w:val="16"/>
          <w:color w:val="1D1D1D"/>
        </w:rPr>
        <w:t>o</w:t>
      </w:r>
      <w:r>
        <w:rPr>
          <w:rFonts w:ascii="Arial" w:cs="Arial" w:eastAsia="Arial" w:hAnsi="Arial"/>
          <w:sz w:val="16"/>
          <w:szCs w:val="16"/>
          <w:color w:val="0E0E0E"/>
        </w:rPr>
        <w:t>w</w:t>
      </w:r>
      <w:r>
        <w:rPr>
          <w:rFonts w:ascii="Arial" w:cs="Arial" w:eastAsia="Arial" w:hAnsi="Arial"/>
          <w:sz w:val="16"/>
          <w:szCs w:val="16"/>
          <w:color w:val="1D1D1D"/>
        </w:rPr>
        <w:t>s</w:t>
      </w:r>
      <w:r>
        <w:rPr>
          <w:rFonts w:ascii="Arial" w:cs="Arial" w:eastAsia="Arial" w:hAnsi="Arial"/>
          <w:sz w:val="16"/>
          <w:szCs w:val="16"/>
          <w:color w:val="333333"/>
        </w:rPr>
        <w:t>:</w:t>
      </w:r>
    </w:p>
    <w:p>
      <w:pPr>
        <w:spacing w:after="0" w:line="96" w:lineRule="exact"/>
        <w:rPr>
          <w:sz w:val="20"/>
          <w:szCs w:val="20"/>
          <w:color w:val="auto"/>
        </w:rPr>
      </w:pPr>
    </w:p>
    <w:p>
      <w:pPr>
        <w:ind w:left="1420"/>
        <w:spacing w:after="0"/>
        <w:rPr>
          <w:sz w:val="20"/>
          <w:szCs w:val="20"/>
          <w:color w:val="auto"/>
        </w:rPr>
      </w:pPr>
      <w:r>
        <w:rPr>
          <w:rFonts w:ascii="Arial" w:cs="Arial" w:eastAsia="Arial" w:hAnsi="Arial"/>
          <w:sz w:val="17"/>
          <w:szCs w:val="17"/>
          <w:color w:val="0E0E0E"/>
        </w:rPr>
        <w:t>"</w:t>
      </w:r>
      <w:r>
        <w:rPr>
          <w:rFonts w:ascii="Arial" w:cs="Arial" w:eastAsia="Arial" w:hAnsi="Arial"/>
          <w:sz w:val="17"/>
          <w:szCs w:val="17"/>
          <w:color w:val="1D1D1D"/>
        </w:rPr>
        <w:t>(</w:t>
      </w:r>
      <w:r>
        <w:rPr>
          <w:rFonts w:ascii="Arial" w:cs="Arial" w:eastAsia="Arial" w:hAnsi="Arial"/>
          <w:sz w:val="17"/>
          <w:szCs w:val="17"/>
          <w:color w:val="0E0E0E"/>
        </w:rPr>
        <w:t>A) Th</w:t>
      </w:r>
      <w:r>
        <w:rPr>
          <w:rFonts w:ascii="Arial" w:cs="Arial" w:eastAsia="Arial" w:hAnsi="Arial"/>
          <w:sz w:val="17"/>
          <w:szCs w:val="17"/>
          <w:color w:val="1D1D1D"/>
        </w:rPr>
        <w:t>e Co</w:t>
      </w:r>
      <w:r>
        <w:rPr>
          <w:rFonts w:ascii="Arial" w:cs="Arial" w:eastAsia="Arial" w:hAnsi="Arial"/>
          <w:sz w:val="17"/>
          <w:szCs w:val="17"/>
          <w:color w:val="0E0E0E"/>
        </w:rPr>
        <w:t>rpo</w:t>
      </w:r>
      <w:r>
        <w:rPr>
          <w:rFonts w:ascii="Arial" w:cs="Arial" w:eastAsia="Arial" w:hAnsi="Arial"/>
          <w:sz w:val="17"/>
          <w:szCs w:val="17"/>
          <w:color w:val="1D1D1D"/>
        </w:rPr>
        <w:t>rati</w:t>
      </w:r>
      <w:r>
        <w:rPr>
          <w:rFonts w:ascii="Arial" w:cs="Arial" w:eastAsia="Arial" w:hAnsi="Arial"/>
          <w:sz w:val="17"/>
          <w:szCs w:val="17"/>
          <w:color w:val="0E0E0E"/>
        </w:rPr>
        <w:t>on i</w:t>
      </w:r>
      <w:r>
        <w:rPr>
          <w:rFonts w:ascii="Arial" w:cs="Arial" w:eastAsia="Arial" w:hAnsi="Arial"/>
          <w:sz w:val="17"/>
          <w:szCs w:val="17"/>
          <w:color w:val="1D1D1D"/>
        </w:rPr>
        <w:t>s a</w:t>
      </w:r>
      <w:r>
        <w:rPr>
          <w:rFonts w:ascii="Arial" w:cs="Arial" w:eastAsia="Arial" w:hAnsi="Arial"/>
          <w:sz w:val="17"/>
          <w:szCs w:val="17"/>
          <w:color w:val="0E0E0E"/>
        </w:rPr>
        <w:t>uthori</w:t>
      </w:r>
      <w:r>
        <w:rPr>
          <w:rFonts w:ascii="Arial" w:cs="Arial" w:eastAsia="Arial" w:hAnsi="Arial"/>
          <w:sz w:val="17"/>
          <w:szCs w:val="17"/>
          <w:color w:val="1D1D1D"/>
        </w:rPr>
        <w:t>zed to iss</w:t>
      </w:r>
      <w:r>
        <w:rPr>
          <w:rFonts w:ascii="Arial" w:cs="Arial" w:eastAsia="Arial" w:hAnsi="Arial"/>
          <w:sz w:val="17"/>
          <w:szCs w:val="17"/>
          <w:color w:val="0E0E0E"/>
        </w:rPr>
        <w:t>u</w:t>
      </w:r>
      <w:r>
        <w:rPr>
          <w:rFonts w:ascii="Arial" w:cs="Arial" w:eastAsia="Arial" w:hAnsi="Arial"/>
          <w:sz w:val="17"/>
          <w:szCs w:val="17"/>
          <w:color w:val="1D1D1D"/>
        </w:rPr>
        <w:t>e two classes of stock to</w:t>
      </w:r>
      <w:r>
        <w:rPr>
          <w:rFonts w:ascii="Arial" w:cs="Arial" w:eastAsia="Arial" w:hAnsi="Arial"/>
          <w:sz w:val="17"/>
          <w:szCs w:val="17"/>
          <w:color w:val="0E0E0E"/>
        </w:rPr>
        <w:t xml:space="preserve"> b</w:t>
      </w:r>
      <w:r>
        <w:rPr>
          <w:rFonts w:ascii="Arial" w:cs="Arial" w:eastAsia="Arial" w:hAnsi="Arial"/>
          <w:sz w:val="17"/>
          <w:szCs w:val="17"/>
          <w:color w:val="1D1D1D"/>
        </w:rPr>
        <w:t>e</w:t>
      </w:r>
      <w:r>
        <w:rPr>
          <w:rFonts w:ascii="Arial" w:cs="Arial" w:eastAsia="Arial" w:hAnsi="Arial"/>
          <w:sz w:val="17"/>
          <w:szCs w:val="17"/>
          <w:color w:val="0E0E0E"/>
        </w:rPr>
        <w:t xml:space="preserve"> d</w:t>
      </w:r>
      <w:r>
        <w:rPr>
          <w:rFonts w:ascii="Arial" w:cs="Arial" w:eastAsia="Arial" w:hAnsi="Arial"/>
          <w:sz w:val="17"/>
          <w:szCs w:val="17"/>
          <w:color w:val="1D1D1D"/>
        </w:rPr>
        <w:t>es</w:t>
      </w:r>
      <w:r>
        <w:rPr>
          <w:rFonts w:ascii="Arial" w:cs="Arial" w:eastAsia="Arial" w:hAnsi="Arial"/>
          <w:sz w:val="17"/>
          <w:szCs w:val="17"/>
          <w:color w:val="0E0E0E"/>
        </w:rPr>
        <w:t>ignated</w:t>
      </w:r>
      <w:r>
        <w:rPr>
          <w:rFonts w:ascii="Arial" w:cs="Arial" w:eastAsia="Arial" w:hAnsi="Arial"/>
          <w:sz w:val="17"/>
          <w:szCs w:val="17"/>
          <w:color w:val="1D1D1D"/>
        </w:rPr>
        <w:t>,</w:t>
      </w:r>
      <w:r>
        <w:rPr>
          <w:rFonts w:ascii="Arial" w:cs="Arial" w:eastAsia="Arial" w:hAnsi="Arial"/>
          <w:sz w:val="17"/>
          <w:szCs w:val="17"/>
          <w:color w:val="0E0E0E"/>
        </w:rPr>
        <w:t xml:space="preserve"> re</w:t>
      </w:r>
      <w:r>
        <w:rPr>
          <w:rFonts w:ascii="Arial" w:cs="Arial" w:eastAsia="Arial" w:hAnsi="Arial"/>
          <w:sz w:val="17"/>
          <w:szCs w:val="17"/>
          <w:color w:val="1D1D1D"/>
        </w:rPr>
        <w:t>spec</w:t>
      </w:r>
      <w:r>
        <w:rPr>
          <w:rFonts w:ascii="Arial" w:cs="Arial" w:eastAsia="Arial" w:hAnsi="Arial"/>
          <w:sz w:val="17"/>
          <w:szCs w:val="17"/>
          <w:color w:val="0E0E0E"/>
        </w:rPr>
        <w:t>tiv</w:t>
      </w:r>
      <w:r>
        <w:rPr>
          <w:rFonts w:ascii="Arial" w:cs="Arial" w:eastAsia="Arial" w:hAnsi="Arial"/>
          <w:sz w:val="17"/>
          <w:szCs w:val="17"/>
          <w:color w:val="1D1D1D"/>
        </w:rPr>
        <w:t>e</w:t>
      </w:r>
      <w:r>
        <w:rPr>
          <w:rFonts w:ascii="Arial" w:cs="Arial" w:eastAsia="Arial" w:hAnsi="Arial"/>
          <w:sz w:val="17"/>
          <w:szCs w:val="17"/>
          <w:color w:val="0E0E0E"/>
        </w:rPr>
        <w:t>l</w:t>
      </w:r>
      <w:r>
        <w:rPr>
          <w:rFonts w:ascii="Arial" w:cs="Arial" w:eastAsia="Arial" w:hAnsi="Arial"/>
          <w:sz w:val="17"/>
          <w:szCs w:val="17"/>
          <w:color w:val="1D1D1D"/>
        </w:rPr>
        <w:t>y, "C</w:t>
      </w:r>
      <w:r>
        <w:rPr>
          <w:rFonts w:ascii="Arial" w:cs="Arial" w:eastAsia="Arial" w:hAnsi="Arial"/>
          <w:sz w:val="17"/>
          <w:szCs w:val="17"/>
          <w:color w:val="0E0E0E"/>
        </w:rPr>
        <w:t>omm</w:t>
      </w:r>
      <w:r>
        <w:rPr>
          <w:rFonts w:ascii="Arial" w:cs="Arial" w:eastAsia="Arial" w:hAnsi="Arial"/>
          <w:sz w:val="17"/>
          <w:szCs w:val="17"/>
          <w:color w:val="1D1D1D"/>
        </w:rPr>
        <w:t>o</w:t>
      </w:r>
      <w:r>
        <w:rPr>
          <w:rFonts w:ascii="Arial" w:cs="Arial" w:eastAsia="Arial" w:hAnsi="Arial"/>
          <w:sz w:val="17"/>
          <w:szCs w:val="17"/>
          <w:color w:val="0E0E0E"/>
        </w:rPr>
        <w:t xml:space="preserve">n </w:t>
      </w:r>
      <w:r>
        <w:rPr>
          <w:rFonts w:ascii="Arial" w:cs="Arial" w:eastAsia="Arial" w:hAnsi="Arial"/>
          <w:sz w:val="17"/>
          <w:szCs w:val="17"/>
          <w:color w:val="1D1D1D"/>
        </w:rPr>
        <w:t>S</w:t>
      </w:r>
      <w:r>
        <w:rPr>
          <w:rFonts w:ascii="Arial" w:cs="Arial" w:eastAsia="Arial" w:hAnsi="Arial"/>
          <w:sz w:val="17"/>
          <w:szCs w:val="17"/>
          <w:color w:val="0E0E0E"/>
        </w:rPr>
        <w:t>to</w:t>
      </w:r>
      <w:r>
        <w:rPr>
          <w:rFonts w:ascii="Arial" w:cs="Arial" w:eastAsia="Arial" w:hAnsi="Arial"/>
          <w:sz w:val="17"/>
          <w:szCs w:val="17"/>
          <w:color w:val="1D1D1D"/>
        </w:rPr>
        <w:t>ck</w:t>
      </w:r>
      <w:r>
        <w:rPr>
          <w:rFonts w:ascii="Arial" w:cs="Arial" w:eastAsia="Arial" w:hAnsi="Arial"/>
          <w:sz w:val="17"/>
          <w:szCs w:val="17"/>
          <w:color w:val="333333"/>
        </w:rPr>
        <w:t>"</w:t>
      </w:r>
      <w:r>
        <w:rPr>
          <w:rFonts w:ascii="Arial" w:cs="Arial" w:eastAsia="Arial" w:hAnsi="Arial"/>
          <w:sz w:val="17"/>
          <w:szCs w:val="17"/>
          <w:color w:val="0E0E0E"/>
        </w:rPr>
        <w:t xml:space="preserve"> </w:t>
      </w:r>
      <w:r>
        <w:rPr>
          <w:rFonts w:ascii="Arial" w:cs="Arial" w:eastAsia="Arial" w:hAnsi="Arial"/>
          <w:sz w:val="17"/>
          <w:szCs w:val="17"/>
          <w:color w:val="1D1D1D"/>
        </w:rPr>
        <w:t>a</w:t>
      </w:r>
      <w:r>
        <w:rPr>
          <w:rFonts w:ascii="Arial" w:cs="Arial" w:eastAsia="Arial" w:hAnsi="Arial"/>
          <w:sz w:val="17"/>
          <w:szCs w:val="17"/>
          <w:color w:val="0E0E0E"/>
        </w:rPr>
        <w:t>nd</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7"/>
          <w:szCs w:val="17"/>
          <w:color w:val="333333"/>
        </w:rPr>
        <w:t>"</w:t>
      </w:r>
      <w:r>
        <w:rPr>
          <w:rFonts w:ascii="Arial" w:cs="Arial" w:eastAsia="Arial" w:hAnsi="Arial"/>
          <w:sz w:val="17"/>
          <w:szCs w:val="17"/>
          <w:color w:val="0E0E0E"/>
        </w:rPr>
        <w:t>P</w:t>
      </w:r>
      <w:r>
        <w:rPr>
          <w:rFonts w:ascii="Arial" w:cs="Arial" w:eastAsia="Arial" w:hAnsi="Arial"/>
          <w:sz w:val="17"/>
          <w:szCs w:val="17"/>
          <w:color w:val="1D1D1D"/>
        </w:rPr>
        <w:t>referred St</w:t>
      </w:r>
      <w:r>
        <w:rPr>
          <w:rFonts w:ascii="Arial" w:cs="Arial" w:eastAsia="Arial" w:hAnsi="Arial"/>
          <w:sz w:val="17"/>
          <w:szCs w:val="17"/>
          <w:color w:val="333333"/>
        </w:rPr>
        <w:t>o</w:t>
      </w:r>
      <w:r>
        <w:rPr>
          <w:rFonts w:ascii="Arial" w:cs="Arial" w:eastAsia="Arial" w:hAnsi="Arial"/>
          <w:sz w:val="17"/>
          <w:szCs w:val="17"/>
          <w:color w:val="1D1D1D"/>
        </w:rPr>
        <w:t>ck." The tota</w:t>
      </w:r>
      <w:r>
        <w:rPr>
          <w:rFonts w:ascii="Arial" w:cs="Arial" w:eastAsia="Arial" w:hAnsi="Arial"/>
          <w:sz w:val="17"/>
          <w:szCs w:val="17"/>
          <w:color w:val="0E0E0E"/>
        </w:rPr>
        <w:t>l numb</w:t>
      </w:r>
      <w:r>
        <w:rPr>
          <w:rFonts w:ascii="Arial" w:cs="Arial" w:eastAsia="Arial" w:hAnsi="Arial"/>
          <w:sz w:val="17"/>
          <w:szCs w:val="17"/>
          <w:color w:val="1D1D1D"/>
        </w:rPr>
        <w:t>e</w:t>
      </w:r>
      <w:r>
        <w:rPr>
          <w:rFonts w:ascii="Arial" w:cs="Arial" w:eastAsia="Arial" w:hAnsi="Arial"/>
          <w:sz w:val="17"/>
          <w:szCs w:val="17"/>
          <w:color w:val="0E0E0E"/>
        </w:rPr>
        <w:t>r</w:t>
      </w:r>
      <w:r>
        <w:rPr>
          <w:rFonts w:ascii="Arial" w:cs="Arial" w:eastAsia="Arial" w:hAnsi="Arial"/>
          <w:sz w:val="17"/>
          <w:szCs w:val="17"/>
          <w:color w:val="333333"/>
        </w:rPr>
        <w:t xml:space="preserve"> </w:t>
      </w:r>
      <w:r>
        <w:rPr>
          <w:rFonts w:ascii="Arial" w:cs="Arial" w:eastAsia="Arial" w:hAnsi="Arial"/>
          <w:sz w:val="17"/>
          <w:szCs w:val="17"/>
          <w:color w:val="1D1D1D"/>
        </w:rPr>
        <w:t>o</w:t>
      </w:r>
      <w:r>
        <w:rPr>
          <w:rFonts w:ascii="Arial" w:cs="Arial" w:eastAsia="Arial" w:hAnsi="Arial"/>
          <w:sz w:val="17"/>
          <w:szCs w:val="17"/>
          <w:color w:val="0E0E0E"/>
        </w:rPr>
        <w:t>f</w:t>
      </w:r>
      <w:r>
        <w:rPr>
          <w:rFonts w:ascii="Arial" w:cs="Arial" w:eastAsia="Arial" w:hAnsi="Arial"/>
          <w:sz w:val="17"/>
          <w:szCs w:val="17"/>
          <w:color w:val="333333"/>
        </w:rPr>
        <w:t xml:space="preserve"> </w:t>
      </w:r>
      <w:r>
        <w:rPr>
          <w:rFonts w:ascii="Arial" w:cs="Arial" w:eastAsia="Arial" w:hAnsi="Arial"/>
          <w:sz w:val="17"/>
          <w:szCs w:val="17"/>
          <w:color w:val="1D1D1D"/>
        </w:rPr>
        <w:t>s</w:t>
      </w:r>
      <w:r>
        <w:rPr>
          <w:rFonts w:ascii="Arial" w:cs="Arial" w:eastAsia="Arial" w:hAnsi="Arial"/>
          <w:sz w:val="17"/>
          <w:szCs w:val="17"/>
          <w:color w:val="0E0E0E"/>
        </w:rPr>
        <w:t>hare</w:t>
      </w:r>
      <w:r>
        <w:rPr>
          <w:rFonts w:ascii="Arial" w:cs="Arial" w:eastAsia="Arial" w:hAnsi="Arial"/>
          <w:sz w:val="17"/>
          <w:szCs w:val="17"/>
          <w:color w:val="1D1D1D"/>
        </w:rPr>
        <w:t>s</w:t>
      </w:r>
      <w:r>
        <w:rPr>
          <w:rFonts w:ascii="Arial" w:cs="Arial" w:eastAsia="Arial" w:hAnsi="Arial"/>
          <w:sz w:val="17"/>
          <w:szCs w:val="17"/>
          <w:color w:val="333333"/>
        </w:rPr>
        <w:t xml:space="preserve"> </w:t>
      </w:r>
      <w:r>
        <w:rPr>
          <w:rFonts w:ascii="Arial" w:cs="Arial" w:eastAsia="Arial" w:hAnsi="Arial"/>
          <w:sz w:val="17"/>
          <w:szCs w:val="17"/>
          <w:color w:val="0E0E0E"/>
        </w:rPr>
        <w:t>which th</w:t>
      </w:r>
      <w:r>
        <w:rPr>
          <w:rFonts w:ascii="Arial" w:cs="Arial" w:eastAsia="Arial" w:hAnsi="Arial"/>
          <w:sz w:val="17"/>
          <w:szCs w:val="17"/>
          <w:color w:val="1D1D1D"/>
        </w:rPr>
        <w:t>e C</w:t>
      </w:r>
      <w:r>
        <w:rPr>
          <w:rFonts w:ascii="Arial" w:cs="Arial" w:eastAsia="Arial" w:hAnsi="Arial"/>
          <w:sz w:val="17"/>
          <w:szCs w:val="17"/>
          <w:color w:val="0E0E0E"/>
        </w:rPr>
        <w:t>orp</w:t>
      </w:r>
      <w:r>
        <w:rPr>
          <w:rFonts w:ascii="Arial" w:cs="Arial" w:eastAsia="Arial" w:hAnsi="Arial"/>
          <w:sz w:val="17"/>
          <w:szCs w:val="17"/>
          <w:color w:val="1D1D1D"/>
        </w:rPr>
        <w:t>o</w:t>
      </w:r>
      <w:r>
        <w:rPr>
          <w:rFonts w:ascii="Arial" w:cs="Arial" w:eastAsia="Arial" w:hAnsi="Arial"/>
          <w:sz w:val="17"/>
          <w:szCs w:val="17"/>
          <w:color w:val="0E0E0E"/>
        </w:rPr>
        <w:t>ration i</w:t>
      </w:r>
      <w:r>
        <w:rPr>
          <w:rFonts w:ascii="Arial" w:cs="Arial" w:eastAsia="Arial" w:hAnsi="Arial"/>
          <w:sz w:val="17"/>
          <w:szCs w:val="17"/>
          <w:color w:val="1D1D1D"/>
        </w:rPr>
        <w:t>s au</w:t>
      </w:r>
      <w:r>
        <w:rPr>
          <w:rFonts w:ascii="Arial" w:cs="Arial" w:eastAsia="Arial" w:hAnsi="Arial"/>
          <w:sz w:val="17"/>
          <w:szCs w:val="17"/>
          <w:color w:val="0E0E0E"/>
        </w:rPr>
        <w:t>tho</w:t>
      </w:r>
      <w:r>
        <w:rPr>
          <w:rFonts w:ascii="Arial" w:cs="Arial" w:eastAsia="Arial" w:hAnsi="Arial"/>
          <w:sz w:val="17"/>
          <w:szCs w:val="17"/>
          <w:color w:val="1D1D1D"/>
        </w:rPr>
        <w:t>rize</w:t>
      </w:r>
      <w:r>
        <w:rPr>
          <w:rFonts w:ascii="Arial" w:cs="Arial" w:eastAsia="Arial" w:hAnsi="Arial"/>
          <w:sz w:val="17"/>
          <w:szCs w:val="17"/>
          <w:color w:val="0E0E0E"/>
        </w:rPr>
        <w:t>d t</w:t>
      </w:r>
      <w:r>
        <w:rPr>
          <w:rFonts w:ascii="Arial" w:cs="Arial" w:eastAsia="Arial" w:hAnsi="Arial"/>
          <w:sz w:val="17"/>
          <w:szCs w:val="17"/>
          <w:color w:val="1D1D1D"/>
        </w:rPr>
        <w:t>o</w:t>
      </w:r>
      <w:r>
        <w:rPr>
          <w:rFonts w:ascii="Arial" w:cs="Arial" w:eastAsia="Arial" w:hAnsi="Arial"/>
          <w:sz w:val="17"/>
          <w:szCs w:val="17"/>
          <w:color w:val="333333"/>
        </w:rPr>
        <w:t xml:space="preserve"> i</w:t>
      </w:r>
      <w:r>
        <w:rPr>
          <w:rFonts w:ascii="Arial" w:cs="Arial" w:eastAsia="Arial" w:hAnsi="Arial"/>
          <w:sz w:val="17"/>
          <w:szCs w:val="17"/>
          <w:color w:val="0E0E0E"/>
        </w:rPr>
        <w:t>s</w:t>
      </w:r>
      <w:r>
        <w:rPr>
          <w:rFonts w:ascii="Arial" w:cs="Arial" w:eastAsia="Arial" w:hAnsi="Arial"/>
          <w:sz w:val="17"/>
          <w:szCs w:val="17"/>
          <w:color w:val="1D1D1D"/>
        </w:rPr>
        <w:t>s</w:t>
      </w:r>
      <w:r>
        <w:rPr>
          <w:rFonts w:ascii="Arial" w:cs="Arial" w:eastAsia="Arial" w:hAnsi="Arial"/>
          <w:sz w:val="17"/>
          <w:szCs w:val="17"/>
          <w:color w:val="0E0E0E"/>
        </w:rPr>
        <w:t>u</w:t>
      </w:r>
      <w:r>
        <w:rPr>
          <w:rFonts w:ascii="Arial" w:cs="Arial" w:eastAsia="Arial" w:hAnsi="Arial"/>
          <w:sz w:val="17"/>
          <w:szCs w:val="17"/>
          <w:color w:val="1D1D1D"/>
        </w:rPr>
        <w:t>e is</w:t>
      </w:r>
      <w:r>
        <w:rPr>
          <w:rFonts w:ascii="Arial" w:cs="Arial" w:eastAsia="Arial" w:hAnsi="Arial"/>
          <w:sz w:val="17"/>
          <w:szCs w:val="17"/>
          <w:color w:val="333333"/>
        </w:rPr>
        <w:t xml:space="preserve"> </w:t>
      </w:r>
      <w:r>
        <w:rPr>
          <w:rFonts w:ascii="Arial" w:cs="Arial" w:eastAsia="Arial" w:hAnsi="Arial"/>
          <w:sz w:val="17"/>
          <w:szCs w:val="17"/>
          <w:color w:val="0E0E0E"/>
        </w:rPr>
        <w:t>On</w:t>
      </w:r>
      <w:r>
        <w:rPr>
          <w:rFonts w:ascii="Arial" w:cs="Arial" w:eastAsia="Arial" w:hAnsi="Arial"/>
          <w:sz w:val="17"/>
          <w:szCs w:val="17"/>
          <w:color w:val="1D1D1D"/>
        </w:rPr>
        <w:t>e</w:t>
      </w:r>
      <w:r>
        <w:rPr>
          <w:rFonts w:ascii="Arial" w:cs="Arial" w:eastAsia="Arial" w:hAnsi="Arial"/>
          <w:sz w:val="17"/>
          <w:szCs w:val="17"/>
          <w:color w:val="0E0E0E"/>
        </w:rPr>
        <w:t>-Hundr</w:t>
      </w:r>
      <w:r>
        <w:rPr>
          <w:rFonts w:ascii="Arial" w:cs="Arial" w:eastAsia="Arial" w:hAnsi="Arial"/>
          <w:sz w:val="17"/>
          <w:szCs w:val="17"/>
          <w:color w:val="1D1D1D"/>
        </w:rPr>
        <w:t>e</w:t>
      </w:r>
      <w:r>
        <w:rPr>
          <w:rFonts w:ascii="Arial" w:cs="Arial" w:eastAsia="Arial" w:hAnsi="Arial"/>
          <w:sz w:val="17"/>
          <w:szCs w:val="17"/>
          <w:color w:val="0E0E0E"/>
        </w:rPr>
        <w:t>d</w:t>
      </w:r>
      <w:r>
        <w:rPr>
          <w:rFonts w:ascii="Arial" w:cs="Arial" w:eastAsia="Arial" w:hAnsi="Arial"/>
          <w:sz w:val="17"/>
          <w:szCs w:val="17"/>
          <w:color w:val="333333"/>
        </w:rPr>
        <w:t xml:space="preserve"> </w:t>
      </w:r>
      <w:r>
        <w:rPr>
          <w:rFonts w:ascii="Arial" w:cs="Arial" w:eastAsia="Arial" w:hAnsi="Arial"/>
          <w:sz w:val="17"/>
          <w:szCs w:val="17"/>
          <w:color w:val="1D1D1D"/>
        </w:rPr>
        <w:t>a</w:t>
      </w:r>
      <w:r>
        <w:rPr>
          <w:rFonts w:ascii="Arial" w:cs="Arial" w:eastAsia="Arial" w:hAnsi="Arial"/>
          <w:sz w:val="17"/>
          <w:szCs w:val="17"/>
          <w:color w:val="0E0E0E"/>
        </w:rPr>
        <w:t>nd Tw</w:t>
      </w:r>
      <w:r>
        <w:rPr>
          <w:rFonts w:ascii="Arial" w:cs="Arial" w:eastAsia="Arial" w:hAnsi="Arial"/>
          <w:sz w:val="17"/>
          <w:szCs w:val="17"/>
          <w:color w:val="1D1D1D"/>
        </w:rPr>
        <w:t>o</w:t>
      </w:r>
    </w:p>
    <w:p>
      <w:pPr>
        <w:spacing w:after="0" w:line="34" w:lineRule="exact"/>
        <w:rPr>
          <w:sz w:val="20"/>
          <w:szCs w:val="20"/>
          <w:color w:val="auto"/>
        </w:rPr>
      </w:pPr>
    </w:p>
    <w:p>
      <w:pPr>
        <w:ind w:left="1420"/>
        <w:spacing w:after="0"/>
        <w:rPr>
          <w:sz w:val="20"/>
          <w:szCs w:val="20"/>
          <w:color w:val="auto"/>
        </w:rPr>
      </w:pPr>
      <w:r>
        <w:rPr>
          <w:rFonts w:ascii="Arial" w:cs="Arial" w:eastAsia="Arial" w:hAnsi="Arial"/>
          <w:sz w:val="16"/>
          <w:szCs w:val="16"/>
          <w:color w:val="1D1D1D"/>
        </w:rPr>
        <w:t>M</w:t>
      </w:r>
      <w:r>
        <w:rPr>
          <w:rFonts w:ascii="Arial" w:cs="Arial" w:eastAsia="Arial" w:hAnsi="Arial"/>
          <w:sz w:val="16"/>
          <w:szCs w:val="16"/>
          <w:color w:val="0E0E0E"/>
        </w:rPr>
        <w:t>ill</w:t>
      </w:r>
      <w:r>
        <w:rPr>
          <w:rFonts w:ascii="Arial" w:cs="Arial" w:eastAsia="Arial" w:hAnsi="Arial"/>
          <w:sz w:val="16"/>
          <w:szCs w:val="16"/>
          <w:color w:val="1D1D1D"/>
        </w:rPr>
        <w:t>io</w:t>
      </w:r>
      <w:r>
        <w:rPr>
          <w:rFonts w:ascii="Arial" w:cs="Arial" w:eastAsia="Arial" w:hAnsi="Arial"/>
          <w:sz w:val="16"/>
          <w:szCs w:val="16"/>
          <w:color w:val="0E0E0E"/>
        </w:rPr>
        <w:t>n (10</w:t>
      </w:r>
      <w:r>
        <w:rPr>
          <w:rFonts w:ascii="Arial" w:cs="Arial" w:eastAsia="Arial" w:hAnsi="Arial"/>
          <w:sz w:val="16"/>
          <w:szCs w:val="16"/>
          <w:color w:val="1D1D1D"/>
        </w:rPr>
        <w:t>2,</w:t>
      </w:r>
      <w:r>
        <w:rPr>
          <w:rFonts w:ascii="Arial" w:cs="Arial" w:eastAsia="Arial" w:hAnsi="Arial"/>
          <w:sz w:val="16"/>
          <w:szCs w:val="16"/>
          <w:color w:val="0E0E0E"/>
        </w:rPr>
        <w:t>000</w:t>
      </w:r>
      <w:r>
        <w:rPr>
          <w:rFonts w:ascii="Arial" w:cs="Arial" w:eastAsia="Arial" w:hAnsi="Arial"/>
          <w:sz w:val="16"/>
          <w:szCs w:val="16"/>
          <w:color w:val="333333"/>
        </w:rPr>
        <w:t>,</w:t>
      </w:r>
      <w:r>
        <w:rPr>
          <w:rFonts w:ascii="Arial" w:cs="Arial" w:eastAsia="Arial" w:hAnsi="Arial"/>
          <w:sz w:val="16"/>
          <w:szCs w:val="16"/>
          <w:color w:val="0E0E0E"/>
        </w:rPr>
        <w:t>000)</w:t>
      </w:r>
      <w:r>
        <w:rPr>
          <w:rFonts w:ascii="Arial" w:cs="Arial" w:eastAsia="Arial" w:hAnsi="Arial"/>
          <w:sz w:val="16"/>
          <w:szCs w:val="16"/>
          <w:color w:val="1D1D1D"/>
        </w:rPr>
        <w:t xml:space="preserve"> s</w:t>
      </w:r>
      <w:r>
        <w:rPr>
          <w:rFonts w:ascii="Arial" w:cs="Arial" w:eastAsia="Arial" w:hAnsi="Arial"/>
          <w:sz w:val="16"/>
          <w:szCs w:val="16"/>
          <w:color w:val="0E0E0E"/>
        </w:rPr>
        <w:t>h</w:t>
      </w:r>
      <w:r>
        <w:rPr>
          <w:rFonts w:ascii="Arial" w:cs="Arial" w:eastAsia="Arial" w:hAnsi="Arial"/>
          <w:sz w:val="16"/>
          <w:szCs w:val="16"/>
          <w:color w:val="1D1D1D"/>
        </w:rPr>
        <w:t>are</w:t>
      </w:r>
      <w:r>
        <w:rPr>
          <w:rFonts w:ascii="Arial" w:cs="Arial" w:eastAsia="Arial" w:hAnsi="Arial"/>
          <w:sz w:val="16"/>
          <w:szCs w:val="16"/>
          <w:color w:val="0E0E0E"/>
        </w:rPr>
        <w:t>s</w:t>
      </w:r>
      <w:r>
        <w:rPr>
          <w:rFonts w:ascii="Arial" w:cs="Arial" w:eastAsia="Arial" w:hAnsi="Arial"/>
          <w:sz w:val="16"/>
          <w:szCs w:val="16"/>
          <w:color w:val="1D1D1D"/>
        </w:rPr>
        <w:t>, eac</w:t>
      </w:r>
      <w:r>
        <w:rPr>
          <w:rFonts w:ascii="Arial" w:cs="Arial" w:eastAsia="Arial" w:hAnsi="Arial"/>
          <w:sz w:val="16"/>
          <w:szCs w:val="16"/>
          <w:color w:val="0E0E0E"/>
        </w:rPr>
        <w:t>h wi</w:t>
      </w:r>
      <w:r>
        <w:rPr>
          <w:rFonts w:ascii="Arial" w:cs="Arial" w:eastAsia="Arial" w:hAnsi="Arial"/>
          <w:sz w:val="16"/>
          <w:szCs w:val="16"/>
          <w:color w:val="333333"/>
        </w:rPr>
        <w:t>t</w:t>
      </w:r>
      <w:r>
        <w:rPr>
          <w:rFonts w:ascii="Arial" w:cs="Arial" w:eastAsia="Arial" w:hAnsi="Arial"/>
          <w:sz w:val="16"/>
          <w:szCs w:val="16"/>
          <w:color w:val="0E0E0E"/>
        </w:rPr>
        <w:t>h</w:t>
      </w:r>
      <w:r>
        <w:rPr>
          <w:rFonts w:ascii="Arial" w:cs="Arial" w:eastAsia="Arial" w:hAnsi="Arial"/>
          <w:sz w:val="16"/>
          <w:szCs w:val="16"/>
          <w:color w:val="1D1D1D"/>
        </w:rPr>
        <w:t xml:space="preserve"> a p</w:t>
      </w:r>
      <w:r>
        <w:rPr>
          <w:rFonts w:ascii="Arial" w:cs="Arial" w:eastAsia="Arial" w:hAnsi="Arial"/>
          <w:sz w:val="16"/>
          <w:szCs w:val="16"/>
          <w:color w:val="0E0E0E"/>
        </w:rPr>
        <w:t>ar v</w:t>
      </w:r>
      <w:r>
        <w:rPr>
          <w:rFonts w:ascii="Arial" w:cs="Arial" w:eastAsia="Arial" w:hAnsi="Arial"/>
          <w:sz w:val="16"/>
          <w:szCs w:val="16"/>
          <w:color w:val="1D1D1D"/>
        </w:rPr>
        <w:t>a</w:t>
      </w:r>
      <w:r>
        <w:rPr>
          <w:rFonts w:ascii="Arial" w:cs="Arial" w:eastAsia="Arial" w:hAnsi="Arial"/>
          <w:sz w:val="16"/>
          <w:szCs w:val="16"/>
          <w:color w:val="0E0E0E"/>
        </w:rPr>
        <w:t>lu</w:t>
      </w:r>
      <w:r>
        <w:rPr>
          <w:rFonts w:ascii="Arial" w:cs="Arial" w:eastAsia="Arial" w:hAnsi="Arial"/>
          <w:sz w:val="16"/>
          <w:szCs w:val="16"/>
          <w:color w:val="1D1D1D"/>
        </w:rPr>
        <w:t>e of$0</w:t>
      </w:r>
      <w:r>
        <w:rPr>
          <w:rFonts w:ascii="Arial" w:cs="Arial" w:eastAsia="Arial" w:hAnsi="Arial"/>
          <w:sz w:val="16"/>
          <w:szCs w:val="16"/>
          <w:color w:val="0E0E0E"/>
        </w:rPr>
        <w:t>.</w:t>
      </w:r>
      <w:r>
        <w:rPr>
          <w:rFonts w:ascii="Arial" w:cs="Arial" w:eastAsia="Arial" w:hAnsi="Arial"/>
          <w:sz w:val="16"/>
          <w:szCs w:val="16"/>
          <w:color w:val="1D1D1D"/>
        </w:rPr>
        <w:t xml:space="preserve">001 </w:t>
      </w:r>
      <w:r>
        <w:rPr>
          <w:rFonts w:ascii="Arial" w:cs="Arial" w:eastAsia="Arial" w:hAnsi="Arial"/>
          <w:sz w:val="16"/>
          <w:szCs w:val="16"/>
          <w:color w:val="0E0E0E"/>
        </w:rPr>
        <w:t>per</w:t>
      </w:r>
      <w:r>
        <w:rPr>
          <w:rFonts w:ascii="Arial" w:cs="Arial" w:eastAsia="Arial" w:hAnsi="Arial"/>
          <w:sz w:val="16"/>
          <w:szCs w:val="16"/>
          <w:color w:val="1D1D1D"/>
        </w:rPr>
        <w:t xml:space="preserve"> s</w:t>
      </w:r>
      <w:r>
        <w:rPr>
          <w:rFonts w:ascii="Arial" w:cs="Arial" w:eastAsia="Arial" w:hAnsi="Arial"/>
          <w:sz w:val="16"/>
          <w:szCs w:val="16"/>
          <w:color w:val="0E0E0E"/>
        </w:rPr>
        <w:t>h</w:t>
      </w:r>
      <w:r>
        <w:rPr>
          <w:rFonts w:ascii="Arial" w:cs="Arial" w:eastAsia="Arial" w:hAnsi="Arial"/>
          <w:sz w:val="16"/>
          <w:szCs w:val="16"/>
          <w:color w:val="1D1D1D"/>
        </w:rPr>
        <w:t>ar</w:t>
      </w:r>
      <w:r>
        <w:rPr>
          <w:rFonts w:ascii="Arial" w:cs="Arial" w:eastAsia="Arial" w:hAnsi="Arial"/>
          <w:sz w:val="16"/>
          <w:szCs w:val="16"/>
          <w:color w:val="0E0E0E"/>
        </w:rPr>
        <w:t>e.</w:t>
      </w:r>
      <w:r>
        <w:rPr>
          <w:rFonts w:ascii="Arial" w:cs="Arial" w:eastAsia="Arial" w:hAnsi="Arial"/>
          <w:sz w:val="16"/>
          <w:szCs w:val="16"/>
          <w:color w:val="1D1D1D"/>
        </w:rPr>
        <w:t xml:space="preserve"> O</w:t>
      </w:r>
      <w:r>
        <w:rPr>
          <w:rFonts w:ascii="Arial" w:cs="Arial" w:eastAsia="Arial" w:hAnsi="Arial"/>
          <w:sz w:val="16"/>
          <w:szCs w:val="16"/>
          <w:color w:val="0E0E0E"/>
        </w:rPr>
        <w:t>ne Hu</w:t>
      </w:r>
      <w:r>
        <w:rPr>
          <w:rFonts w:ascii="Arial" w:cs="Arial" w:eastAsia="Arial" w:hAnsi="Arial"/>
          <w:sz w:val="16"/>
          <w:szCs w:val="16"/>
          <w:color w:val="1D1D1D"/>
        </w:rPr>
        <w:t>n</w:t>
      </w:r>
      <w:r>
        <w:rPr>
          <w:rFonts w:ascii="Arial" w:cs="Arial" w:eastAsia="Arial" w:hAnsi="Arial"/>
          <w:sz w:val="16"/>
          <w:szCs w:val="16"/>
          <w:color w:val="0E0E0E"/>
        </w:rPr>
        <w:t>dred</w:t>
      </w:r>
      <w:r>
        <w:rPr>
          <w:rFonts w:ascii="Arial" w:cs="Arial" w:eastAsia="Arial" w:hAnsi="Arial"/>
          <w:sz w:val="16"/>
          <w:szCs w:val="16"/>
          <w:color w:val="1D1D1D"/>
        </w:rPr>
        <w:t xml:space="preserve"> M</w:t>
      </w:r>
      <w:r>
        <w:rPr>
          <w:rFonts w:ascii="Arial" w:cs="Arial" w:eastAsia="Arial" w:hAnsi="Arial"/>
          <w:sz w:val="16"/>
          <w:szCs w:val="16"/>
          <w:color w:val="0E0E0E"/>
        </w:rPr>
        <w:t>ill</w:t>
      </w:r>
      <w:r>
        <w:rPr>
          <w:rFonts w:ascii="Arial" w:cs="Arial" w:eastAsia="Arial" w:hAnsi="Arial"/>
          <w:sz w:val="16"/>
          <w:szCs w:val="16"/>
          <w:color w:val="1D1D1D"/>
        </w:rPr>
        <w:t>io</w:t>
      </w:r>
      <w:r>
        <w:rPr>
          <w:rFonts w:ascii="Arial" w:cs="Arial" w:eastAsia="Arial" w:hAnsi="Arial"/>
          <w:sz w:val="16"/>
          <w:szCs w:val="16"/>
          <w:color w:val="0E0E0E"/>
        </w:rPr>
        <w:t>n (100</w:t>
      </w:r>
      <w:r>
        <w:rPr>
          <w:rFonts w:ascii="Arial" w:cs="Arial" w:eastAsia="Arial" w:hAnsi="Arial"/>
          <w:sz w:val="16"/>
          <w:szCs w:val="16"/>
          <w:color w:val="1D1D1D"/>
        </w:rPr>
        <w:t>,0</w:t>
      </w:r>
      <w:r>
        <w:rPr>
          <w:rFonts w:ascii="Arial" w:cs="Arial" w:eastAsia="Arial" w:hAnsi="Arial"/>
          <w:sz w:val="16"/>
          <w:szCs w:val="16"/>
          <w:color w:val="0E0E0E"/>
        </w:rPr>
        <w:t>00,00</w:t>
      </w:r>
      <w:r>
        <w:rPr>
          <w:rFonts w:ascii="Arial" w:cs="Arial" w:eastAsia="Arial" w:hAnsi="Arial"/>
          <w:sz w:val="16"/>
          <w:szCs w:val="16"/>
          <w:color w:val="1D1D1D"/>
        </w:rPr>
        <w:t>0</w:t>
      </w:r>
      <w:r>
        <w:rPr>
          <w:rFonts w:ascii="Arial" w:cs="Arial" w:eastAsia="Arial" w:hAnsi="Arial"/>
          <w:sz w:val="16"/>
          <w:szCs w:val="16"/>
          <w:color w:val="0E0E0E"/>
        </w:rPr>
        <w:t>)</w:t>
      </w:r>
      <w:r>
        <w:rPr>
          <w:rFonts w:ascii="Arial" w:cs="Arial" w:eastAsia="Arial" w:hAnsi="Arial"/>
          <w:sz w:val="16"/>
          <w:szCs w:val="16"/>
          <w:color w:val="1D1D1D"/>
        </w:rPr>
        <w:t xml:space="preserve"> s</w:t>
      </w:r>
      <w:r>
        <w:rPr>
          <w:rFonts w:ascii="Arial" w:cs="Arial" w:eastAsia="Arial" w:hAnsi="Arial"/>
          <w:sz w:val="16"/>
          <w:szCs w:val="16"/>
          <w:color w:val="0E0E0E"/>
        </w:rPr>
        <w:t>h</w:t>
      </w:r>
      <w:r>
        <w:rPr>
          <w:rFonts w:ascii="Arial" w:cs="Arial" w:eastAsia="Arial" w:hAnsi="Arial"/>
          <w:sz w:val="16"/>
          <w:szCs w:val="16"/>
          <w:color w:val="1D1D1D"/>
        </w:rPr>
        <w:t>ares sha</w:t>
      </w:r>
      <w:r>
        <w:rPr>
          <w:rFonts w:ascii="Arial" w:cs="Arial" w:eastAsia="Arial" w:hAnsi="Arial"/>
          <w:sz w:val="16"/>
          <w:szCs w:val="16"/>
          <w:color w:val="0E0E0E"/>
        </w:rPr>
        <w:t>ll</w:t>
      </w:r>
    </w:p>
    <w:p>
      <w:pPr>
        <w:spacing w:after="0" w:line="46" w:lineRule="exact"/>
        <w:rPr>
          <w:sz w:val="20"/>
          <w:szCs w:val="20"/>
          <w:color w:val="auto"/>
        </w:rPr>
      </w:pPr>
    </w:p>
    <w:p>
      <w:pPr>
        <w:ind w:left="1420"/>
        <w:spacing w:after="0"/>
        <w:rPr>
          <w:sz w:val="20"/>
          <w:szCs w:val="20"/>
          <w:color w:val="auto"/>
        </w:rPr>
      </w:pPr>
      <w:r>
        <w:rPr>
          <w:rFonts w:ascii="Arial" w:cs="Arial" w:eastAsia="Arial" w:hAnsi="Arial"/>
          <w:sz w:val="18"/>
          <w:szCs w:val="18"/>
          <w:color w:val="0E0E0E"/>
        </w:rPr>
        <w:t>b</w:t>
      </w:r>
      <w:r>
        <w:rPr>
          <w:rFonts w:ascii="Arial" w:cs="Arial" w:eastAsia="Arial" w:hAnsi="Arial"/>
          <w:sz w:val="18"/>
          <w:szCs w:val="18"/>
          <w:color w:val="1D1D1D"/>
        </w:rPr>
        <w:t>e Commo</w:t>
      </w:r>
      <w:r>
        <w:rPr>
          <w:rFonts w:ascii="Arial" w:cs="Arial" w:eastAsia="Arial" w:hAnsi="Arial"/>
          <w:sz w:val="18"/>
          <w:szCs w:val="18"/>
          <w:color w:val="0E0E0E"/>
        </w:rPr>
        <w:t xml:space="preserve">n </w:t>
      </w:r>
      <w:r>
        <w:rPr>
          <w:rFonts w:ascii="Arial" w:cs="Arial" w:eastAsia="Arial" w:hAnsi="Arial"/>
          <w:sz w:val="18"/>
          <w:szCs w:val="18"/>
          <w:color w:val="1D1D1D"/>
        </w:rPr>
        <w:t>Stock</w:t>
      </w:r>
    </w:p>
    <w:p>
      <w:pPr>
        <w:spacing w:after="0" w:line="11" w:lineRule="exact"/>
        <w:rPr>
          <w:sz w:val="20"/>
          <w:szCs w:val="20"/>
          <w:color w:val="auto"/>
        </w:rPr>
      </w:pPr>
    </w:p>
    <w:p>
      <w:pPr>
        <w:ind w:left="1420"/>
        <w:spacing w:after="0"/>
        <w:rPr>
          <w:sz w:val="20"/>
          <w:szCs w:val="20"/>
          <w:color w:val="auto"/>
        </w:rPr>
      </w:pPr>
      <w:r>
        <w:rPr>
          <w:rFonts w:ascii="Arial" w:cs="Arial" w:eastAsia="Arial" w:hAnsi="Arial"/>
          <w:sz w:val="18"/>
          <w:szCs w:val="18"/>
          <w:color w:val="1D1D1D"/>
        </w:rPr>
        <w:t>a</w:t>
      </w:r>
      <w:r>
        <w:rPr>
          <w:rFonts w:ascii="Arial" w:cs="Arial" w:eastAsia="Arial" w:hAnsi="Arial"/>
          <w:sz w:val="18"/>
          <w:szCs w:val="18"/>
          <w:color w:val="0E0E0E"/>
        </w:rPr>
        <w:t>n</w:t>
      </w:r>
      <w:r>
        <w:rPr>
          <w:rFonts w:ascii="Arial" w:cs="Arial" w:eastAsia="Arial" w:hAnsi="Arial"/>
          <w:sz w:val="18"/>
          <w:szCs w:val="18"/>
          <w:color w:val="1D1D1D"/>
        </w:rPr>
        <w:t>d T</w:t>
      </w:r>
      <w:r>
        <w:rPr>
          <w:rFonts w:ascii="Arial" w:cs="Arial" w:eastAsia="Arial" w:hAnsi="Arial"/>
          <w:sz w:val="18"/>
          <w:szCs w:val="18"/>
          <w:color w:val="0E0E0E"/>
        </w:rPr>
        <w:t>wo Mill</w:t>
      </w:r>
      <w:r>
        <w:rPr>
          <w:rFonts w:ascii="Arial" w:cs="Arial" w:eastAsia="Arial" w:hAnsi="Arial"/>
          <w:sz w:val="18"/>
          <w:szCs w:val="18"/>
          <w:color w:val="1D1D1D"/>
        </w:rPr>
        <w:t>i</w:t>
      </w:r>
      <w:r>
        <w:rPr>
          <w:rFonts w:ascii="Arial" w:cs="Arial" w:eastAsia="Arial" w:hAnsi="Arial"/>
          <w:sz w:val="18"/>
          <w:szCs w:val="18"/>
          <w:color w:val="0E0E0E"/>
        </w:rPr>
        <w:t>on (</w:t>
      </w:r>
      <w:r>
        <w:rPr>
          <w:rFonts w:ascii="Arial" w:cs="Arial" w:eastAsia="Arial" w:hAnsi="Arial"/>
          <w:sz w:val="18"/>
          <w:szCs w:val="18"/>
          <w:color w:val="1D1D1D"/>
        </w:rPr>
        <w:t>2</w:t>
      </w:r>
      <w:r>
        <w:rPr>
          <w:rFonts w:ascii="Arial" w:cs="Arial" w:eastAsia="Arial" w:hAnsi="Arial"/>
          <w:sz w:val="18"/>
          <w:szCs w:val="18"/>
          <w:color w:val="0E0E0E"/>
        </w:rPr>
        <w:t>,000</w:t>
      </w:r>
      <w:r>
        <w:rPr>
          <w:rFonts w:ascii="Arial" w:cs="Arial" w:eastAsia="Arial" w:hAnsi="Arial"/>
          <w:sz w:val="18"/>
          <w:szCs w:val="18"/>
          <w:color w:val="1D1D1D"/>
        </w:rPr>
        <w:t>,</w:t>
      </w:r>
      <w:r>
        <w:rPr>
          <w:rFonts w:ascii="Arial" w:cs="Arial" w:eastAsia="Arial" w:hAnsi="Arial"/>
          <w:sz w:val="18"/>
          <w:szCs w:val="18"/>
          <w:color w:val="0E0E0E"/>
        </w:rPr>
        <w:t>000) sh</w:t>
      </w:r>
      <w:r>
        <w:rPr>
          <w:rFonts w:ascii="Arial" w:cs="Arial" w:eastAsia="Arial" w:hAnsi="Arial"/>
          <w:sz w:val="18"/>
          <w:szCs w:val="18"/>
          <w:color w:val="1D1D1D"/>
        </w:rPr>
        <w:t>a</w:t>
      </w:r>
      <w:r>
        <w:rPr>
          <w:rFonts w:ascii="Arial" w:cs="Arial" w:eastAsia="Arial" w:hAnsi="Arial"/>
          <w:sz w:val="18"/>
          <w:szCs w:val="18"/>
          <w:color w:val="0E0E0E"/>
        </w:rPr>
        <w:t>res</w:t>
      </w:r>
      <w:r>
        <w:rPr>
          <w:rFonts w:ascii="Arial" w:cs="Arial" w:eastAsia="Arial" w:hAnsi="Arial"/>
          <w:sz w:val="18"/>
          <w:szCs w:val="18"/>
          <w:color w:val="1D1D1D"/>
        </w:rPr>
        <w:t xml:space="preserve"> s</w:t>
      </w:r>
      <w:r>
        <w:rPr>
          <w:rFonts w:ascii="Arial" w:cs="Arial" w:eastAsia="Arial" w:hAnsi="Arial"/>
          <w:sz w:val="18"/>
          <w:szCs w:val="18"/>
          <w:color w:val="0E0E0E"/>
        </w:rPr>
        <w:t>h</w:t>
      </w:r>
      <w:r>
        <w:rPr>
          <w:rFonts w:ascii="Arial" w:cs="Arial" w:eastAsia="Arial" w:hAnsi="Arial"/>
          <w:sz w:val="18"/>
          <w:szCs w:val="18"/>
          <w:color w:val="1D1D1D"/>
        </w:rPr>
        <w:t>a</w:t>
      </w:r>
      <w:r>
        <w:rPr>
          <w:rFonts w:ascii="Arial" w:cs="Arial" w:eastAsia="Arial" w:hAnsi="Arial"/>
          <w:sz w:val="18"/>
          <w:szCs w:val="18"/>
          <w:color w:val="0E0E0E"/>
        </w:rPr>
        <w:t>ll b</w:t>
      </w:r>
      <w:r>
        <w:rPr>
          <w:rFonts w:ascii="Arial" w:cs="Arial" w:eastAsia="Arial" w:hAnsi="Arial"/>
          <w:sz w:val="18"/>
          <w:szCs w:val="18"/>
          <w:color w:val="1D1D1D"/>
        </w:rPr>
        <w:t>e P</w:t>
      </w:r>
      <w:r>
        <w:rPr>
          <w:rFonts w:ascii="Arial" w:cs="Arial" w:eastAsia="Arial" w:hAnsi="Arial"/>
          <w:sz w:val="18"/>
          <w:szCs w:val="18"/>
          <w:color w:val="0E0E0E"/>
        </w:rPr>
        <w:t>r</w:t>
      </w:r>
      <w:r>
        <w:rPr>
          <w:rFonts w:ascii="Arial" w:cs="Arial" w:eastAsia="Arial" w:hAnsi="Arial"/>
          <w:sz w:val="18"/>
          <w:szCs w:val="18"/>
          <w:color w:val="1D1D1D"/>
        </w:rPr>
        <w:t xml:space="preserve">eferred </w:t>
      </w:r>
      <w:r>
        <w:rPr>
          <w:rFonts w:ascii="Arial" w:cs="Arial" w:eastAsia="Arial" w:hAnsi="Arial"/>
          <w:sz w:val="18"/>
          <w:szCs w:val="18"/>
          <w:color w:val="0E0E0E"/>
        </w:rPr>
        <w:t>S</w:t>
      </w:r>
      <w:r>
        <w:rPr>
          <w:rFonts w:ascii="Arial" w:cs="Arial" w:eastAsia="Arial" w:hAnsi="Arial"/>
          <w:sz w:val="18"/>
          <w:szCs w:val="18"/>
          <w:color w:val="1D1D1D"/>
        </w:rPr>
        <w:t>tock.</w:t>
      </w:r>
    </w:p>
    <w:p>
      <w:pPr>
        <w:spacing w:after="0" w:line="250" w:lineRule="exact"/>
        <w:rPr>
          <w:sz w:val="20"/>
          <w:szCs w:val="20"/>
          <w:color w:val="auto"/>
        </w:rPr>
      </w:pPr>
    </w:p>
    <w:p>
      <w:pPr>
        <w:ind w:left="1700" w:hanging="285"/>
        <w:spacing w:after="0"/>
        <w:tabs>
          <w:tab w:leader="none" w:pos="1700" w:val="left"/>
        </w:tabs>
        <w:numPr>
          <w:ilvl w:val="0"/>
          <w:numId w:val="32"/>
        </w:numPr>
        <w:rPr>
          <w:rFonts w:ascii="Arial" w:cs="Arial" w:eastAsia="Arial" w:hAnsi="Arial"/>
          <w:sz w:val="17"/>
          <w:szCs w:val="17"/>
          <w:color w:val="0E0E0E"/>
        </w:rPr>
      </w:pPr>
      <w:r>
        <w:rPr>
          <w:rFonts w:ascii="Arial" w:cs="Arial" w:eastAsia="Arial" w:hAnsi="Arial"/>
          <w:sz w:val="17"/>
          <w:szCs w:val="17"/>
          <w:color w:val="1D1D1D"/>
        </w:rPr>
        <w:t>T</w:t>
      </w:r>
      <w:r>
        <w:rPr>
          <w:rFonts w:ascii="Arial" w:cs="Arial" w:eastAsia="Arial" w:hAnsi="Arial"/>
          <w:sz w:val="17"/>
          <w:szCs w:val="17"/>
          <w:color w:val="0E0E0E"/>
        </w:rPr>
        <w:t>h</w:t>
      </w:r>
      <w:r>
        <w:rPr>
          <w:rFonts w:ascii="Arial" w:cs="Arial" w:eastAsia="Arial" w:hAnsi="Arial"/>
          <w:sz w:val="17"/>
          <w:szCs w:val="17"/>
          <w:color w:val="1D1D1D"/>
        </w:rPr>
        <w:t>e Prefe</w:t>
      </w:r>
      <w:r>
        <w:rPr>
          <w:rFonts w:ascii="Arial" w:cs="Arial" w:eastAsia="Arial" w:hAnsi="Arial"/>
          <w:sz w:val="17"/>
          <w:szCs w:val="17"/>
          <w:color w:val="0E0E0E"/>
        </w:rPr>
        <w:t>rr</w:t>
      </w:r>
      <w:r>
        <w:rPr>
          <w:rFonts w:ascii="Arial" w:cs="Arial" w:eastAsia="Arial" w:hAnsi="Arial"/>
          <w:sz w:val="17"/>
          <w:szCs w:val="17"/>
          <w:color w:val="1D1D1D"/>
        </w:rPr>
        <w:t>e</w:t>
      </w:r>
      <w:r>
        <w:rPr>
          <w:rFonts w:ascii="Arial" w:cs="Arial" w:eastAsia="Arial" w:hAnsi="Arial"/>
          <w:sz w:val="17"/>
          <w:szCs w:val="17"/>
          <w:color w:val="0E0E0E"/>
        </w:rPr>
        <w:t>d</w:t>
      </w:r>
      <w:r>
        <w:rPr>
          <w:rFonts w:ascii="Arial" w:cs="Arial" w:eastAsia="Arial" w:hAnsi="Arial"/>
          <w:sz w:val="17"/>
          <w:szCs w:val="17"/>
          <w:color w:val="1D1D1D"/>
        </w:rPr>
        <w:t xml:space="preserve"> S</w:t>
      </w:r>
      <w:r>
        <w:rPr>
          <w:rFonts w:ascii="Arial" w:cs="Arial" w:eastAsia="Arial" w:hAnsi="Arial"/>
          <w:sz w:val="17"/>
          <w:szCs w:val="17"/>
          <w:color w:val="0E0E0E"/>
        </w:rPr>
        <w:t>t</w:t>
      </w:r>
      <w:r>
        <w:rPr>
          <w:rFonts w:ascii="Arial" w:cs="Arial" w:eastAsia="Arial" w:hAnsi="Arial"/>
          <w:sz w:val="17"/>
          <w:szCs w:val="17"/>
          <w:color w:val="1D1D1D"/>
        </w:rPr>
        <w:t>oc</w:t>
      </w:r>
      <w:r>
        <w:rPr>
          <w:rFonts w:ascii="Arial" w:cs="Arial" w:eastAsia="Arial" w:hAnsi="Arial"/>
          <w:sz w:val="17"/>
          <w:szCs w:val="17"/>
          <w:color w:val="0E0E0E"/>
        </w:rPr>
        <w:t>k</w:t>
      </w:r>
      <w:r>
        <w:rPr>
          <w:rFonts w:ascii="Arial" w:cs="Arial" w:eastAsia="Arial" w:hAnsi="Arial"/>
          <w:sz w:val="17"/>
          <w:szCs w:val="17"/>
          <w:color w:val="1D1D1D"/>
        </w:rPr>
        <w:t xml:space="preserve"> may </w:t>
      </w:r>
      <w:r>
        <w:rPr>
          <w:rFonts w:ascii="Arial" w:cs="Arial" w:eastAsia="Arial" w:hAnsi="Arial"/>
          <w:sz w:val="17"/>
          <w:szCs w:val="17"/>
          <w:color w:val="0E0E0E"/>
        </w:rPr>
        <w:t>b</w:t>
      </w:r>
      <w:r>
        <w:rPr>
          <w:rFonts w:ascii="Arial" w:cs="Arial" w:eastAsia="Arial" w:hAnsi="Arial"/>
          <w:sz w:val="17"/>
          <w:szCs w:val="17"/>
          <w:color w:val="1D1D1D"/>
        </w:rPr>
        <w:t xml:space="preserve">e </w:t>
      </w:r>
      <w:r>
        <w:rPr>
          <w:rFonts w:ascii="Arial" w:cs="Arial" w:eastAsia="Arial" w:hAnsi="Arial"/>
          <w:sz w:val="17"/>
          <w:szCs w:val="17"/>
          <w:color w:val="0E0E0E"/>
        </w:rPr>
        <w:t>i</w:t>
      </w:r>
      <w:r>
        <w:rPr>
          <w:rFonts w:ascii="Arial" w:cs="Arial" w:eastAsia="Arial" w:hAnsi="Arial"/>
          <w:sz w:val="17"/>
          <w:szCs w:val="17"/>
          <w:color w:val="1D1D1D"/>
        </w:rPr>
        <w:t>ss</w:t>
      </w:r>
      <w:r>
        <w:rPr>
          <w:rFonts w:ascii="Arial" w:cs="Arial" w:eastAsia="Arial" w:hAnsi="Arial"/>
          <w:sz w:val="17"/>
          <w:szCs w:val="17"/>
          <w:color w:val="0E0E0E"/>
        </w:rPr>
        <w:t>ued</w:t>
      </w:r>
      <w:r>
        <w:rPr>
          <w:rFonts w:ascii="Arial" w:cs="Arial" w:eastAsia="Arial" w:hAnsi="Arial"/>
          <w:sz w:val="17"/>
          <w:szCs w:val="17"/>
          <w:color w:val="1D1D1D"/>
        </w:rPr>
        <w:t xml:space="preserve"> from time </w:t>
      </w:r>
      <w:r>
        <w:rPr>
          <w:rFonts w:ascii="Arial" w:cs="Arial" w:eastAsia="Arial" w:hAnsi="Arial"/>
          <w:sz w:val="17"/>
          <w:szCs w:val="17"/>
          <w:color w:val="0E0E0E"/>
        </w:rPr>
        <w:t>t</w:t>
      </w:r>
      <w:r>
        <w:rPr>
          <w:rFonts w:ascii="Arial" w:cs="Arial" w:eastAsia="Arial" w:hAnsi="Arial"/>
          <w:sz w:val="17"/>
          <w:szCs w:val="17"/>
          <w:color w:val="1D1D1D"/>
        </w:rPr>
        <w:t xml:space="preserve">o </w:t>
      </w:r>
      <w:r>
        <w:rPr>
          <w:rFonts w:ascii="Arial" w:cs="Arial" w:eastAsia="Arial" w:hAnsi="Arial"/>
          <w:sz w:val="17"/>
          <w:szCs w:val="17"/>
          <w:color w:val="0E0E0E"/>
        </w:rPr>
        <w:t>t</w:t>
      </w:r>
      <w:r>
        <w:rPr>
          <w:rFonts w:ascii="Arial" w:cs="Arial" w:eastAsia="Arial" w:hAnsi="Arial"/>
          <w:sz w:val="17"/>
          <w:szCs w:val="17"/>
          <w:color w:val="1D1D1D"/>
        </w:rPr>
        <w:t xml:space="preserve">ime </w:t>
      </w:r>
      <w:r>
        <w:rPr>
          <w:rFonts w:ascii="Arial" w:cs="Arial" w:eastAsia="Arial" w:hAnsi="Arial"/>
          <w:sz w:val="17"/>
          <w:szCs w:val="17"/>
          <w:color w:val="333333"/>
        </w:rPr>
        <w:t>i</w:t>
      </w:r>
      <w:r>
        <w:rPr>
          <w:rFonts w:ascii="Arial" w:cs="Arial" w:eastAsia="Arial" w:hAnsi="Arial"/>
          <w:sz w:val="17"/>
          <w:szCs w:val="17"/>
          <w:color w:val="0E0E0E"/>
        </w:rPr>
        <w:t>n</w:t>
      </w:r>
      <w:r>
        <w:rPr>
          <w:rFonts w:ascii="Arial" w:cs="Arial" w:eastAsia="Arial" w:hAnsi="Arial"/>
          <w:sz w:val="17"/>
          <w:szCs w:val="17"/>
          <w:color w:val="1D1D1D"/>
        </w:rPr>
        <w:t xml:space="preserve"> o</w:t>
      </w:r>
      <w:r>
        <w:rPr>
          <w:rFonts w:ascii="Arial" w:cs="Arial" w:eastAsia="Arial" w:hAnsi="Arial"/>
          <w:sz w:val="17"/>
          <w:szCs w:val="17"/>
          <w:color w:val="0E0E0E"/>
        </w:rPr>
        <w:t>n</w:t>
      </w:r>
      <w:r>
        <w:rPr>
          <w:rFonts w:ascii="Arial" w:cs="Arial" w:eastAsia="Arial" w:hAnsi="Arial"/>
          <w:sz w:val="17"/>
          <w:szCs w:val="17"/>
          <w:color w:val="333333"/>
        </w:rPr>
        <w:t>e</w:t>
      </w:r>
      <w:r>
        <w:rPr>
          <w:rFonts w:ascii="Arial" w:cs="Arial" w:eastAsia="Arial" w:hAnsi="Arial"/>
          <w:sz w:val="17"/>
          <w:szCs w:val="17"/>
          <w:color w:val="1D1D1D"/>
        </w:rPr>
        <w:t xml:space="preserve"> o</w:t>
      </w:r>
      <w:r>
        <w:rPr>
          <w:rFonts w:ascii="Arial" w:cs="Arial" w:eastAsia="Arial" w:hAnsi="Arial"/>
          <w:sz w:val="17"/>
          <w:szCs w:val="17"/>
          <w:color w:val="0E0E0E"/>
        </w:rPr>
        <w:t>r</w:t>
      </w:r>
      <w:r>
        <w:rPr>
          <w:rFonts w:ascii="Arial" w:cs="Arial" w:eastAsia="Arial" w:hAnsi="Arial"/>
          <w:sz w:val="17"/>
          <w:szCs w:val="17"/>
          <w:color w:val="1D1D1D"/>
        </w:rPr>
        <w:t xml:space="preserve"> m</w:t>
      </w:r>
      <w:r>
        <w:rPr>
          <w:rFonts w:ascii="Arial" w:cs="Arial" w:eastAsia="Arial" w:hAnsi="Arial"/>
          <w:sz w:val="17"/>
          <w:szCs w:val="17"/>
          <w:color w:val="333333"/>
        </w:rPr>
        <w:t>o</w:t>
      </w:r>
      <w:r>
        <w:rPr>
          <w:rFonts w:ascii="Arial" w:cs="Arial" w:eastAsia="Arial" w:hAnsi="Arial"/>
          <w:sz w:val="17"/>
          <w:szCs w:val="17"/>
          <w:color w:val="1D1D1D"/>
        </w:rPr>
        <w:t>r</w:t>
      </w:r>
      <w:r>
        <w:rPr>
          <w:rFonts w:ascii="Arial" w:cs="Arial" w:eastAsia="Arial" w:hAnsi="Arial"/>
          <w:sz w:val="17"/>
          <w:szCs w:val="17"/>
          <w:color w:val="333333"/>
        </w:rPr>
        <w:t>e</w:t>
      </w:r>
      <w:r>
        <w:rPr>
          <w:rFonts w:ascii="Arial" w:cs="Arial" w:eastAsia="Arial" w:hAnsi="Arial"/>
          <w:sz w:val="17"/>
          <w:szCs w:val="17"/>
          <w:color w:val="1D1D1D"/>
        </w:rPr>
        <w:t xml:space="preserve"> se</w:t>
      </w:r>
      <w:r>
        <w:rPr>
          <w:rFonts w:ascii="Arial" w:cs="Arial" w:eastAsia="Arial" w:hAnsi="Arial"/>
          <w:sz w:val="17"/>
          <w:szCs w:val="17"/>
          <w:color w:val="0E0E0E"/>
        </w:rPr>
        <w:t>ri</w:t>
      </w:r>
      <w:r>
        <w:rPr>
          <w:rFonts w:ascii="Arial" w:cs="Arial" w:eastAsia="Arial" w:hAnsi="Arial"/>
          <w:sz w:val="17"/>
          <w:szCs w:val="17"/>
          <w:color w:val="1D1D1D"/>
        </w:rPr>
        <w:t>e</w:t>
      </w:r>
      <w:r>
        <w:rPr>
          <w:rFonts w:ascii="Arial" w:cs="Arial" w:eastAsia="Arial" w:hAnsi="Arial"/>
          <w:sz w:val="17"/>
          <w:szCs w:val="17"/>
          <w:color w:val="0E0E0E"/>
        </w:rPr>
        <w:t>s</w:t>
      </w:r>
      <w:r>
        <w:rPr>
          <w:rFonts w:ascii="Arial" w:cs="Arial" w:eastAsia="Arial" w:hAnsi="Arial"/>
          <w:sz w:val="17"/>
          <w:szCs w:val="17"/>
          <w:color w:val="333333"/>
        </w:rPr>
        <w:t>.</w:t>
      </w:r>
      <w:r>
        <w:rPr>
          <w:rFonts w:ascii="Arial" w:cs="Arial" w:eastAsia="Arial" w:hAnsi="Arial"/>
          <w:sz w:val="17"/>
          <w:szCs w:val="17"/>
          <w:color w:val="1D1D1D"/>
        </w:rPr>
        <w:t xml:space="preserve"> T</w:t>
      </w:r>
      <w:r>
        <w:rPr>
          <w:rFonts w:ascii="Arial" w:cs="Arial" w:eastAsia="Arial" w:hAnsi="Arial"/>
          <w:sz w:val="17"/>
          <w:szCs w:val="17"/>
          <w:color w:val="0E0E0E"/>
        </w:rPr>
        <w:t>h</w:t>
      </w:r>
      <w:r>
        <w:rPr>
          <w:rFonts w:ascii="Arial" w:cs="Arial" w:eastAsia="Arial" w:hAnsi="Arial"/>
          <w:sz w:val="17"/>
          <w:szCs w:val="17"/>
          <w:color w:val="1D1D1D"/>
        </w:rPr>
        <w:t xml:space="preserve">e </w:t>
      </w:r>
      <w:r>
        <w:rPr>
          <w:rFonts w:ascii="Arial" w:cs="Arial" w:eastAsia="Arial" w:hAnsi="Arial"/>
          <w:sz w:val="17"/>
          <w:szCs w:val="17"/>
          <w:color w:val="0E0E0E"/>
        </w:rPr>
        <w:t>B</w:t>
      </w:r>
      <w:r>
        <w:rPr>
          <w:rFonts w:ascii="Arial" w:cs="Arial" w:eastAsia="Arial" w:hAnsi="Arial"/>
          <w:sz w:val="17"/>
          <w:szCs w:val="17"/>
          <w:color w:val="1D1D1D"/>
        </w:rPr>
        <w:t>oa</w:t>
      </w:r>
      <w:r>
        <w:rPr>
          <w:rFonts w:ascii="Arial" w:cs="Arial" w:eastAsia="Arial" w:hAnsi="Arial"/>
          <w:sz w:val="17"/>
          <w:szCs w:val="17"/>
          <w:color w:val="0E0E0E"/>
        </w:rPr>
        <w:t>rd</w:t>
      </w:r>
      <w:r>
        <w:rPr>
          <w:rFonts w:ascii="Arial" w:cs="Arial" w:eastAsia="Arial" w:hAnsi="Arial"/>
          <w:sz w:val="17"/>
          <w:szCs w:val="17"/>
          <w:color w:val="1D1D1D"/>
        </w:rPr>
        <w:t xml:space="preserve"> o</w:t>
      </w:r>
      <w:r>
        <w:rPr>
          <w:rFonts w:ascii="Arial" w:cs="Arial" w:eastAsia="Arial" w:hAnsi="Arial"/>
          <w:sz w:val="17"/>
          <w:szCs w:val="17"/>
          <w:color w:val="0E0E0E"/>
        </w:rPr>
        <w:t>f Dire</w:t>
      </w:r>
      <w:r>
        <w:rPr>
          <w:rFonts w:ascii="Arial" w:cs="Arial" w:eastAsia="Arial" w:hAnsi="Arial"/>
          <w:sz w:val="17"/>
          <w:szCs w:val="17"/>
          <w:color w:val="1D1D1D"/>
        </w:rPr>
        <w:t>c</w:t>
      </w:r>
      <w:r>
        <w:rPr>
          <w:rFonts w:ascii="Arial" w:cs="Arial" w:eastAsia="Arial" w:hAnsi="Arial"/>
          <w:sz w:val="17"/>
          <w:szCs w:val="17"/>
          <w:color w:val="0E0E0E"/>
        </w:rPr>
        <w:t>t</w:t>
      </w:r>
      <w:r>
        <w:rPr>
          <w:rFonts w:ascii="Arial" w:cs="Arial" w:eastAsia="Arial" w:hAnsi="Arial"/>
          <w:sz w:val="17"/>
          <w:szCs w:val="17"/>
          <w:color w:val="1D1D1D"/>
        </w:rPr>
        <w:t>o</w:t>
      </w:r>
      <w:r>
        <w:rPr>
          <w:rFonts w:ascii="Arial" w:cs="Arial" w:eastAsia="Arial" w:hAnsi="Arial"/>
          <w:sz w:val="17"/>
          <w:szCs w:val="17"/>
          <w:color w:val="0E0E0E"/>
        </w:rPr>
        <w:t>rs i</w:t>
      </w:r>
      <w:r>
        <w:rPr>
          <w:rFonts w:ascii="Arial" w:cs="Arial" w:eastAsia="Arial" w:hAnsi="Arial"/>
          <w:sz w:val="17"/>
          <w:szCs w:val="17"/>
          <w:color w:val="1D1D1D"/>
        </w:rPr>
        <w:t xml:space="preserve">s </w:t>
      </w:r>
      <w:r>
        <w:rPr>
          <w:rFonts w:ascii="Arial" w:cs="Arial" w:eastAsia="Arial" w:hAnsi="Arial"/>
          <w:sz w:val="17"/>
          <w:szCs w:val="17"/>
          <w:color w:val="0E0E0E"/>
        </w:rPr>
        <w:t>h</w:t>
      </w:r>
      <w:r>
        <w:rPr>
          <w:rFonts w:ascii="Arial" w:cs="Arial" w:eastAsia="Arial" w:hAnsi="Arial"/>
          <w:sz w:val="17"/>
          <w:szCs w:val="17"/>
          <w:color w:val="1D1D1D"/>
        </w:rPr>
        <w:t>e</w:t>
      </w:r>
      <w:r>
        <w:rPr>
          <w:rFonts w:ascii="Arial" w:cs="Arial" w:eastAsia="Arial" w:hAnsi="Arial"/>
          <w:sz w:val="17"/>
          <w:szCs w:val="17"/>
          <w:color w:val="0E0E0E"/>
        </w:rPr>
        <w:t>r</w:t>
      </w:r>
      <w:r>
        <w:rPr>
          <w:rFonts w:ascii="Arial" w:cs="Arial" w:eastAsia="Arial" w:hAnsi="Arial"/>
          <w:sz w:val="17"/>
          <w:szCs w:val="17"/>
          <w:color w:val="1D1D1D"/>
        </w:rPr>
        <w:t>e</w:t>
      </w:r>
      <w:r>
        <w:rPr>
          <w:rFonts w:ascii="Arial" w:cs="Arial" w:eastAsia="Arial" w:hAnsi="Arial"/>
          <w:sz w:val="17"/>
          <w:szCs w:val="17"/>
          <w:color w:val="0E0E0E"/>
        </w:rPr>
        <w:t>by</w:t>
      </w:r>
    </w:p>
    <w:p>
      <w:pPr>
        <w:spacing w:after="0" w:line="35" w:lineRule="exact"/>
        <w:rPr>
          <w:sz w:val="20"/>
          <w:szCs w:val="20"/>
          <w:color w:val="auto"/>
        </w:rPr>
      </w:pPr>
    </w:p>
    <w:p>
      <w:pPr>
        <w:ind w:left="1420" w:right="80"/>
        <w:spacing w:after="0" w:line="266" w:lineRule="auto"/>
        <w:rPr>
          <w:sz w:val="20"/>
          <w:szCs w:val="20"/>
          <w:color w:val="auto"/>
        </w:rPr>
      </w:pPr>
      <w:r>
        <w:rPr>
          <w:rFonts w:ascii="Arial" w:cs="Arial" w:eastAsia="Arial" w:hAnsi="Arial"/>
          <w:sz w:val="18"/>
          <w:szCs w:val="18"/>
          <w:color w:val="1D1D1D"/>
        </w:rPr>
        <w:t>aut</w:t>
      </w:r>
      <w:r>
        <w:rPr>
          <w:rFonts w:ascii="Arial" w:cs="Arial" w:eastAsia="Arial" w:hAnsi="Arial"/>
          <w:sz w:val="18"/>
          <w:szCs w:val="18"/>
          <w:color w:val="0E0E0E"/>
        </w:rPr>
        <w:t>h</w:t>
      </w:r>
      <w:r>
        <w:rPr>
          <w:rFonts w:ascii="Arial" w:cs="Arial" w:eastAsia="Arial" w:hAnsi="Arial"/>
          <w:sz w:val="18"/>
          <w:szCs w:val="18"/>
          <w:color w:val="1D1D1D"/>
        </w:rPr>
        <w:t>ori</w:t>
      </w:r>
      <w:r>
        <w:rPr>
          <w:rFonts w:ascii="Arial" w:cs="Arial" w:eastAsia="Arial" w:hAnsi="Arial"/>
          <w:sz w:val="18"/>
          <w:szCs w:val="18"/>
          <w:color w:val="333333"/>
        </w:rPr>
        <w:t>z</w:t>
      </w:r>
      <w:r>
        <w:rPr>
          <w:rFonts w:ascii="Arial" w:cs="Arial" w:eastAsia="Arial" w:hAnsi="Arial"/>
          <w:sz w:val="18"/>
          <w:szCs w:val="18"/>
          <w:color w:val="1D1D1D"/>
        </w:rPr>
        <w:t>e</w:t>
      </w:r>
      <w:r>
        <w:rPr>
          <w:rFonts w:ascii="Arial" w:cs="Arial" w:eastAsia="Arial" w:hAnsi="Arial"/>
          <w:sz w:val="18"/>
          <w:szCs w:val="18"/>
          <w:color w:val="0E0E0E"/>
        </w:rPr>
        <w:t>d</w:t>
      </w:r>
      <w:r>
        <w:rPr>
          <w:rFonts w:ascii="Arial" w:cs="Arial" w:eastAsia="Arial" w:hAnsi="Arial"/>
          <w:sz w:val="18"/>
          <w:szCs w:val="18"/>
          <w:color w:val="1D1D1D"/>
        </w:rPr>
        <w:t>, by fi</w:t>
      </w:r>
      <w:r>
        <w:rPr>
          <w:rFonts w:ascii="Arial" w:cs="Arial" w:eastAsia="Arial" w:hAnsi="Arial"/>
          <w:sz w:val="18"/>
          <w:szCs w:val="18"/>
          <w:color w:val="0E0E0E"/>
        </w:rPr>
        <w:t>lin</w:t>
      </w:r>
      <w:r>
        <w:rPr>
          <w:rFonts w:ascii="Arial" w:cs="Arial" w:eastAsia="Arial" w:hAnsi="Arial"/>
          <w:sz w:val="18"/>
          <w:szCs w:val="18"/>
          <w:color w:val="1D1D1D"/>
        </w:rPr>
        <w:t xml:space="preserve">g </w:t>
      </w:r>
      <w:r>
        <w:rPr>
          <w:rFonts w:ascii="Arial" w:cs="Arial" w:eastAsia="Arial" w:hAnsi="Arial"/>
          <w:sz w:val="18"/>
          <w:szCs w:val="18"/>
          <w:color w:val="0E0E0E"/>
        </w:rPr>
        <w:t>a</w:t>
      </w:r>
      <w:r>
        <w:rPr>
          <w:rFonts w:ascii="Arial" w:cs="Arial" w:eastAsia="Arial" w:hAnsi="Arial"/>
          <w:sz w:val="18"/>
          <w:szCs w:val="18"/>
          <w:color w:val="1D1D1D"/>
        </w:rPr>
        <w:t xml:space="preserve"> certifica</w:t>
      </w:r>
      <w:r>
        <w:rPr>
          <w:rFonts w:ascii="Arial" w:cs="Arial" w:eastAsia="Arial" w:hAnsi="Arial"/>
          <w:sz w:val="18"/>
          <w:szCs w:val="18"/>
          <w:color w:val="0E0E0E"/>
        </w:rPr>
        <w:t>t</w:t>
      </w:r>
      <w:r>
        <w:rPr>
          <w:rFonts w:ascii="Arial" w:cs="Arial" w:eastAsia="Arial" w:hAnsi="Arial"/>
          <w:sz w:val="18"/>
          <w:szCs w:val="18"/>
          <w:color w:val="1D1D1D"/>
        </w:rPr>
        <w:t xml:space="preserve">e </w:t>
      </w:r>
      <w:r>
        <w:rPr>
          <w:rFonts w:ascii="Arial" w:cs="Arial" w:eastAsia="Arial" w:hAnsi="Arial"/>
          <w:sz w:val="18"/>
          <w:szCs w:val="18"/>
          <w:color w:val="0E0E0E"/>
        </w:rPr>
        <w:t>p</w:t>
      </w:r>
      <w:r>
        <w:rPr>
          <w:rFonts w:ascii="Arial" w:cs="Arial" w:eastAsia="Arial" w:hAnsi="Arial"/>
          <w:sz w:val="18"/>
          <w:szCs w:val="18"/>
          <w:color w:val="1D1D1D"/>
        </w:rPr>
        <w:t>ursua</w:t>
      </w:r>
      <w:r>
        <w:rPr>
          <w:rFonts w:ascii="Arial" w:cs="Arial" w:eastAsia="Arial" w:hAnsi="Arial"/>
          <w:sz w:val="18"/>
          <w:szCs w:val="18"/>
          <w:color w:val="0E0E0E"/>
        </w:rPr>
        <w:t>nt t</w:t>
      </w:r>
      <w:r>
        <w:rPr>
          <w:rFonts w:ascii="Arial" w:cs="Arial" w:eastAsia="Arial" w:hAnsi="Arial"/>
          <w:sz w:val="18"/>
          <w:szCs w:val="18"/>
          <w:color w:val="1D1D1D"/>
        </w:rPr>
        <w:t>o t</w:t>
      </w:r>
      <w:r>
        <w:rPr>
          <w:rFonts w:ascii="Arial" w:cs="Arial" w:eastAsia="Arial" w:hAnsi="Arial"/>
          <w:sz w:val="18"/>
          <w:szCs w:val="18"/>
          <w:color w:val="0E0E0E"/>
        </w:rPr>
        <w:t>h</w:t>
      </w:r>
      <w:r>
        <w:rPr>
          <w:rFonts w:ascii="Arial" w:cs="Arial" w:eastAsia="Arial" w:hAnsi="Arial"/>
          <w:sz w:val="18"/>
          <w:szCs w:val="18"/>
          <w:color w:val="1D1D1D"/>
        </w:rPr>
        <w:t>e a</w:t>
      </w:r>
      <w:r>
        <w:rPr>
          <w:rFonts w:ascii="Arial" w:cs="Arial" w:eastAsia="Arial" w:hAnsi="Arial"/>
          <w:sz w:val="18"/>
          <w:szCs w:val="18"/>
          <w:color w:val="0E0E0E"/>
        </w:rPr>
        <w:t>ppl</w:t>
      </w:r>
      <w:r>
        <w:rPr>
          <w:rFonts w:ascii="Arial" w:cs="Arial" w:eastAsia="Arial" w:hAnsi="Arial"/>
          <w:sz w:val="18"/>
          <w:szCs w:val="18"/>
          <w:color w:val="1D1D1D"/>
        </w:rPr>
        <w:t>ica</w:t>
      </w:r>
      <w:r>
        <w:rPr>
          <w:rFonts w:ascii="Arial" w:cs="Arial" w:eastAsia="Arial" w:hAnsi="Arial"/>
          <w:sz w:val="18"/>
          <w:szCs w:val="18"/>
          <w:color w:val="0E0E0E"/>
        </w:rPr>
        <w:t>bl</w:t>
      </w:r>
      <w:r>
        <w:rPr>
          <w:rFonts w:ascii="Arial" w:cs="Arial" w:eastAsia="Arial" w:hAnsi="Arial"/>
          <w:sz w:val="18"/>
          <w:szCs w:val="18"/>
          <w:color w:val="1D1D1D"/>
        </w:rPr>
        <w:t xml:space="preserve">e </w:t>
      </w:r>
      <w:r>
        <w:rPr>
          <w:rFonts w:ascii="Arial" w:cs="Arial" w:eastAsia="Arial" w:hAnsi="Arial"/>
          <w:sz w:val="18"/>
          <w:szCs w:val="18"/>
          <w:color w:val="0E0E0E"/>
        </w:rPr>
        <w:t>l</w:t>
      </w:r>
      <w:r>
        <w:rPr>
          <w:rFonts w:ascii="Arial" w:cs="Arial" w:eastAsia="Arial" w:hAnsi="Arial"/>
          <w:sz w:val="18"/>
          <w:szCs w:val="18"/>
          <w:color w:val="1D1D1D"/>
        </w:rPr>
        <w:t>a</w:t>
      </w:r>
      <w:r>
        <w:rPr>
          <w:rFonts w:ascii="Arial" w:cs="Arial" w:eastAsia="Arial" w:hAnsi="Arial"/>
          <w:sz w:val="18"/>
          <w:szCs w:val="18"/>
          <w:color w:val="0E0E0E"/>
        </w:rPr>
        <w:t>w</w:t>
      </w:r>
      <w:r>
        <w:rPr>
          <w:rFonts w:ascii="Arial" w:cs="Arial" w:eastAsia="Arial" w:hAnsi="Arial"/>
          <w:sz w:val="18"/>
          <w:szCs w:val="18"/>
          <w:color w:val="1D1D1D"/>
        </w:rPr>
        <w:t xml:space="preserve"> of </w:t>
      </w:r>
      <w:r>
        <w:rPr>
          <w:rFonts w:ascii="Arial" w:cs="Arial" w:eastAsia="Arial" w:hAnsi="Arial"/>
          <w:sz w:val="18"/>
          <w:szCs w:val="18"/>
          <w:color w:val="0E0E0E"/>
        </w:rPr>
        <w:t>th</w:t>
      </w:r>
      <w:r>
        <w:rPr>
          <w:rFonts w:ascii="Arial" w:cs="Arial" w:eastAsia="Arial" w:hAnsi="Arial"/>
          <w:sz w:val="18"/>
          <w:szCs w:val="18"/>
          <w:color w:val="1D1D1D"/>
        </w:rPr>
        <w:t xml:space="preserve">e </w:t>
      </w:r>
      <w:r>
        <w:rPr>
          <w:rFonts w:ascii="Arial" w:cs="Arial" w:eastAsia="Arial" w:hAnsi="Arial"/>
          <w:sz w:val="18"/>
          <w:szCs w:val="18"/>
          <w:color w:val="0E0E0E"/>
        </w:rPr>
        <w:t>S</w:t>
      </w:r>
      <w:r>
        <w:rPr>
          <w:rFonts w:ascii="Arial" w:cs="Arial" w:eastAsia="Arial" w:hAnsi="Arial"/>
          <w:sz w:val="18"/>
          <w:szCs w:val="18"/>
          <w:color w:val="1D1D1D"/>
        </w:rPr>
        <w:t>tate o</w:t>
      </w:r>
      <w:r>
        <w:rPr>
          <w:rFonts w:ascii="Arial" w:cs="Arial" w:eastAsia="Arial" w:hAnsi="Arial"/>
          <w:sz w:val="18"/>
          <w:szCs w:val="18"/>
          <w:color w:val="0E0E0E"/>
        </w:rPr>
        <w:t>f D</w:t>
      </w:r>
      <w:r>
        <w:rPr>
          <w:rFonts w:ascii="Arial" w:cs="Arial" w:eastAsia="Arial" w:hAnsi="Arial"/>
          <w:sz w:val="18"/>
          <w:szCs w:val="18"/>
          <w:color w:val="1D1D1D"/>
        </w:rPr>
        <w:t>e</w:t>
      </w:r>
      <w:r>
        <w:rPr>
          <w:rFonts w:ascii="Arial" w:cs="Arial" w:eastAsia="Arial" w:hAnsi="Arial"/>
          <w:sz w:val="18"/>
          <w:szCs w:val="18"/>
          <w:color w:val="0E0E0E"/>
        </w:rPr>
        <w:t>l</w:t>
      </w:r>
      <w:r>
        <w:rPr>
          <w:rFonts w:ascii="Arial" w:cs="Arial" w:eastAsia="Arial" w:hAnsi="Arial"/>
          <w:sz w:val="18"/>
          <w:szCs w:val="18"/>
          <w:color w:val="1D1D1D"/>
        </w:rPr>
        <w:t>aware a</w:t>
      </w:r>
      <w:r>
        <w:rPr>
          <w:rFonts w:ascii="Arial" w:cs="Arial" w:eastAsia="Arial" w:hAnsi="Arial"/>
          <w:sz w:val="18"/>
          <w:szCs w:val="18"/>
          <w:color w:val="0E0E0E"/>
        </w:rPr>
        <w:t>n</w:t>
      </w:r>
      <w:r>
        <w:rPr>
          <w:rFonts w:ascii="Arial" w:cs="Arial" w:eastAsia="Arial" w:hAnsi="Arial"/>
          <w:sz w:val="18"/>
          <w:szCs w:val="18"/>
          <w:color w:val="1D1D1D"/>
        </w:rPr>
        <w:t xml:space="preserve">d within </w:t>
      </w:r>
      <w:r>
        <w:rPr>
          <w:rFonts w:ascii="Arial" w:cs="Arial" w:eastAsia="Arial" w:hAnsi="Arial"/>
          <w:sz w:val="18"/>
          <w:szCs w:val="18"/>
          <w:color w:val="0E0E0E"/>
        </w:rPr>
        <w:t>th</w:t>
      </w:r>
      <w:r>
        <w:rPr>
          <w:rFonts w:ascii="Arial" w:cs="Arial" w:eastAsia="Arial" w:hAnsi="Arial"/>
          <w:sz w:val="18"/>
          <w:szCs w:val="18"/>
          <w:color w:val="1D1D1D"/>
        </w:rPr>
        <w:t xml:space="preserve">e </w:t>
      </w:r>
      <w:r>
        <w:rPr>
          <w:rFonts w:ascii="Arial" w:cs="Arial" w:eastAsia="Arial" w:hAnsi="Arial"/>
          <w:sz w:val="18"/>
          <w:szCs w:val="18"/>
          <w:color w:val="0E0E0E"/>
        </w:rPr>
        <w:t>l</w:t>
      </w:r>
      <w:r>
        <w:rPr>
          <w:rFonts w:ascii="Arial" w:cs="Arial" w:eastAsia="Arial" w:hAnsi="Arial"/>
          <w:sz w:val="18"/>
          <w:szCs w:val="18"/>
          <w:color w:val="1D1D1D"/>
        </w:rPr>
        <w:t>i</w:t>
      </w:r>
      <w:r>
        <w:rPr>
          <w:rFonts w:ascii="Arial" w:cs="Arial" w:eastAsia="Arial" w:hAnsi="Arial"/>
          <w:sz w:val="18"/>
          <w:szCs w:val="18"/>
          <w:color w:val="0E0E0E"/>
        </w:rPr>
        <w:t>mit</w:t>
      </w:r>
      <w:r>
        <w:rPr>
          <w:rFonts w:ascii="Arial" w:cs="Arial" w:eastAsia="Arial" w:hAnsi="Arial"/>
          <w:sz w:val="18"/>
          <w:szCs w:val="18"/>
          <w:color w:val="1D1D1D"/>
        </w:rPr>
        <w:t>a</w:t>
      </w:r>
      <w:r>
        <w:rPr>
          <w:rFonts w:ascii="Arial" w:cs="Arial" w:eastAsia="Arial" w:hAnsi="Arial"/>
          <w:sz w:val="18"/>
          <w:szCs w:val="18"/>
          <w:color w:val="0E0E0E"/>
        </w:rPr>
        <w:t>ti</w:t>
      </w:r>
      <w:r>
        <w:rPr>
          <w:rFonts w:ascii="Arial" w:cs="Arial" w:eastAsia="Arial" w:hAnsi="Arial"/>
          <w:sz w:val="18"/>
          <w:szCs w:val="18"/>
          <w:color w:val="1D1D1D"/>
        </w:rPr>
        <w:t>o</w:t>
      </w:r>
      <w:r>
        <w:rPr>
          <w:rFonts w:ascii="Arial" w:cs="Arial" w:eastAsia="Arial" w:hAnsi="Arial"/>
          <w:sz w:val="18"/>
          <w:szCs w:val="18"/>
          <w:color w:val="0E0E0E"/>
        </w:rPr>
        <w:t>n</w:t>
      </w:r>
      <w:r>
        <w:rPr>
          <w:rFonts w:ascii="Arial" w:cs="Arial" w:eastAsia="Arial" w:hAnsi="Arial"/>
          <w:sz w:val="18"/>
          <w:szCs w:val="18"/>
          <w:color w:val="1D1D1D"/>
        </w:rPr>
        <w:t>s a</w:t>
      </w:r>
      <w:r>
        <w:rPr>
          <w:rFonts w:ascii="Arial" w:cs="Arial" w:eastAsia="Arial" w:hAnsi="Arial"/>
          <w:sz w:val="18"/>
          <w:szCs w:val="18"/>
          <w:color w:val="0E0E0E"/>
        </w:rPr>
        <w:t>nd</w:t>
      </w:r>
      <w:r>
        <w:rPr>
          <w:rFonts w:ascii="Arial" w:cs="Arial" w:eastAsia="Arial" w:hAnsi="Arial"/>
          <w:sz w:val="18"/>
          <w:szCs w:val="18"/>
          <w:color w:val="1D1D1D"/>
        </w:rPr>
        <w:t xml:space="preserve"> restric</w:t>
      </w:r>
      <w:r>
        <w:rPr>
          <w:rFonts w:ascii="Arial" w:cs="Arial" w:eastAsia="Arial" w:hAnsi="Arial"/>
          <w:sz w:val="18"/>
          <w:szCs w:val="18"/>
          <w:color w:val="0E0E0E"/>
        </w:rPr>
        <w:t>t</w:t>
      </w:r>
      <w:r>
        <w:rPr>
          <w:rFonts w:ascii="Arial" w:cs="Arial" w:eastAsia="Arial" w:hAnsi="Arial"/>
          <w:sz w:val="18"/>
          <w:szCs w:val="18"/>
          <w:color w:val="1D1D1D"/>
        </w:rPr>
        <w:t>io</w:t>
      </w:r>
      <w:r>
        <w:rPr>
          <w:rFonts w:ascii="Arial" w:cs="Arial" w:eastAsia="Arial" w:hAnsi="Arial"/>
          <w:sz w:val="18"/>
          <w:szCs w:val="18"/>
          <w:color w:val="0E0E0E"/>
        </w:rPr>
        <w:t>n</w:t>
      </w:r>
      <w:r>
        <w:rPr>
          <w:rFonts w:ascii="Arial" w:cs="Arial" w:eastAsia="Arial" w:hAnsi="Arial"/>
          <w:sz w:val="18"/>
          <w:szCs w:val="18"/>
          <w:color w:val="1D1D1D"/>
        </w:rPr>
        <w:t>s sta</w:t>
      </w:r>
      <w:r>
        <w:rPr>
          <w:rFonts w:ascii="Arial" w:cs="Arial" w:eastAsia="Arial" w:hAnsi="Arial"/>
          <w:sz w:val="18"/>
          <w:szCs w:val="18"/>
          <w:color w:val="0E0E0E"/>
        </w:rPr>
        <w:t>t</w:t>
      </w:r>
      <w:r>
        <w:rPr>
          <w:rFonts w:ascii="Arial" w:cs="Arial" w:eastAsia="Arial" w:hAnsi="Arial"/>
          <w:sz w:val="18"/>
          <w:szCs w:val="18"/>
          <w:color w:val="1D1D1D"/>
        </w:rPr>
        <w:t xml:space="preserve">ed </w:t>
      </w:r>
      <w:r>
        <w:rPr>
          <w:rFonts w:ascii="Arial" w:cs="Arial" w:eastAsia="Arial" w:hAnsi="Arial"/>
          <w:sz w:val="18"/>
          <w:szCs w:val="18"/>
          <w:color w:val="0E0E0E"/>
        </w:rPr>
        <w:t>in thi</w:t>
      </w:r>
      <w:r>
        <w:rPr>
          <w:rFonts w:ascii="Arial" w:cs="Arial" w:eastAsia="Arial" w:hAnsi="Arial"/>
          <w:sz w:val="18"/>
          <w:szCs w:val="18"/>
          <w:color w:val="1D1D1D"/>
        </w:rPr>
        <w:t>s Ame</w:t>
      </w:r>
      <w:r>
        <w:rPr>
          <w:rFonts w:ascii="Arial" w:cs="Arial" w:eastAsia="Arial" w:hAnsi="Arial"/>
          <w:sz w:val="18"/>
          <w:szCs w:val="18"/>
          <w:color w:val="0E0E0E"/>
        </w:rPr>
        <w:t>nd</w:t>
      </w:r>
      <w:r>
        <w:rPr>
          <w:rFonts w:ascii="Arial" w:cs="Arial" w:eastAsia="Arial" w:hAnsi="Arial"/>
          <w:sz w:val="18"/>
          <w:szCs w:val="18"/>
          <w:color w:val="1D1D1D"/>
        </w:rPr>
        <w:t xml:space="preserve">ed </w:t>
      </w:r>
      <w:r>
        <w:rPr>
          <w:rFonts w:ascii="Arial" w:cs="Arial" w:eastAsia="Arial" w:hAnsi="Arial"/>
          <w:sz w:val="18"/>
          <w:szCs w:val="18"/>
          <w:color w:val="333333"/>
        </w:rPr>
        <w:t>a</w:t>
      </w:r>
      <w:r>
        <w:rPr>
          <w:rFonts w:ascii="Arial" w:cs="Arial" w:eastAsia="Arial" w:hAnsi="Arial"/>
          <w:sz w:val="18"/>
          <w:szCs w:val="18"/>
          <w:color w:val="0E0E0E"/>
        </w:rPr>
        <w:t>nd R</w:t>
      </w:r>
      <w:r>
        <w:rPr>
          <w:rFonts w:ascii="Arial" w:cs="Arial" w:eastAsia="Arial" w:hAnsi="Arial"/>
          <w:sz w:val="18"/>
          <w:szCs w:val="18"/>
          <w:color w:val="1D1D1D"/>
        </w:rPr>
        <w:t>estat</w:t>
      </w:r>
      <w:r>
        <w:rPr>
          <w:rFonts w:ascii="Arial" w:cs="Arial" w:eastAsia="Arial" w:hAnsi="Arial"/>
          <w:sz w:val="18"/>
          <w:szCs w:val="18"/>
          <w:color w:val="333333"/>
        </w:rPr>
        <w:t>e</w:t>
      </w:r>
      <w:r>
        <w:rPr>
          <w:rFonts w:ascii="Arial" w:cs="Arial" w:eastAsia="Arial" w:hAnsi="Arial"/>
          <w:sz w:val="18"/>
          <w:szCs w:val="18"/>
          <w:color w:val="1D1D1D"/>
        </w:rPr>
        <w:t>d Certificat</w:t>
      </w:r>
      <w:r>
        <w:rPr>
          <w:rFonts w:ascii="Arial" w:cs="Arial" w:eastAsia="Arial" w:hAnsi="Arial"/>
          <w:sz w:val="18"/>
          <w:szCs w:val="18"/>
          <w:color w:val="333333"/>
        </w:rPr>
        <w:t>e</w:t>
      </w:r>
      <w:r>
        <w:rPr>
          <w:rFonts w:ascii="Arial" w:cs="Arial" w:eastAsia="Arial" w:hAnsi="Arial"/>
          <w:sz w:val="18"/>
          <w:szCs w:val="18"/>
          <w:color w:val="1D1D1D"/>
        </w:rPr>
        <w:t xml:space="preserve"> of </w:t>
      </w:r>
      <w:r>
        <w:rPr>
          <w:rFonts w:ascii="Arial" w:cs="Arial" w:eastAsia="Arial" w:hAnsi="Arial"/>
          <w:sz w:val="18"/>
          <w:szCs w:val="18"/>
          <w:color w:val="0E0E0E"/>
        </w:rPr>
        <w:t>In</w:t>
      </w:r>
      <w:r>
        <w:rPr>
          <w:rFonts w:ascii="Arial" w:cs="Arial" w:eastAsia="Arial" w:hAnsi="Arial"/>
          <w:sz w:val="18"/>
          <w:szCs w:val="18"/>
          <w:color w:val="1D1D1D"/>
        </w:rPr>
        <w:t>co</w:t>
      </w:r>
      <w:r>
        <w:rPr>
          <w:rFonts w:ascii="Arial" w:cs="Arial" w:eastAsia="Arial" w:hAnsi="Arial"/>
          <w:sz w:val="18"/>
          <w:szCs w:val="18"/>
          <w:color w:val="0E0E0E"/>
        </w:rPr>
        <w:t>rp</w:t>
      </w:r>
      <w:r>
        <w:rPr>
          <w:rFonts w:ascii="Arial" w:cs="Arial" w:eastAsia="Arial" w:hAnsi="Arial"/>
          <w:sz w:val="18"/>
          <w:szCs w:val="18"/>
          <w:color w:val="1D1D1D"/>
        </w:rPr>
        <w:t>orat</w:t>
      </w:r>
      <w:r>
        <w:rPr>
          <w:rFonts w:ascii="Arial" w:cs="Arial" w:eastAsia="Arial" w:hAnsi="Arial"/>
          <w:sz w:val="18"/>
          <w:szCs w:val="18"/>
          <w:color w:val="0E0E0E"/>
        </w:rPr>
        <w:t>i</w:t>
      </w:r>
      <w:r>
        <w:rPr>
          <w:rFonts w:ascii="Arial" w:cs="Arial" w:eastAsia="Arial" w:hAnsi="Arial"/>
          <w:sz w:val="18"/>
          <w:szCs w:val="18"/>
          <w:color w:val="1D1D1D"/>
        </w:rPr>
        <w:t>o</w:t>
      </w:r>
      <w:r>
        <w:rPr>
          <w:rFonts w:ascii="Arial" w:cs="Arial" w:eastAsia="Arial" w:hAnsi="Arial"/>
          <w:sz w:val="18"/>
          <w:szCs w:val="18"/>
          <w:color w:val="0E0E0E"/>
        </w:rPr>
        <w:t>n</w:t>
      </w:r>
      <w:r>
        <w:rPr>
          <w:rFonts w:ascii="Arial" w:cs="Arial" w:eastAsia="Arial" w:hAnsi="Arial"/>
          <w:sz w:val="18"/>
          <w:szCs w:val="18"/>
          <w:color w:val="1D1D1D"/>
        </w:rPr>
        <w:t xml:space="preserve">, </w:t>
      </w:r>
      <w:r>
        <w:rPr>
          <w:rFonts w:ascii="Arial" w:cs="Arial" w:eastAsia="Arial" w:hAnsi="Arial"/>
          <w:sz w:val="18"/>
          <w:szCs w:val="18"/>
          <w:color w:val="0E0E0E"/>
        </w:rPr>
        <w:t>t</w:t>
      </w:r>
      <w:r>
        <w:rPr>
          <w:rFonts w:ascii="Arial" w:cs="Arial" w:eastAsia="Arial" w:hAnsi="Arial"/>
          <w:sz w:val="18"/>
          <w:szCs w:val="18"/>
          <w:color w:val="1D1D1D"/>
        </w:rPr>
        <w:t xml:space="preserve">o </w:t>
      </w:r>
      <w:r>
        <w:rPr>
          <w:rFonts w:ascii="Arial" w:cs="Arial" w:eastAsia="Arial" w:hAnsi="Arial"/>
          <w:sz w:val="18"/>
          <w:szCs w:val="18"/>
          <w:color w:val="0E0E0E"/>
        </w:rPr>
        <w:t>d</w:t>
      </w:r>
      <w:r>
        <w:rPr>
          <w:rFonts w:ascii="Arial" w:cs="Arial" w:eastAsia="Arial" w:hAnsi="Arial"/>
          <w:sz w:val="18"/>
          <w:szCs w:val="18"/>
          <w:color w:val="1D1D1D"/>
        </w:rPr>
        <w:t>e</w:t>
      </w:r>
      <w:r>
        <w:rPr>
          <w:rFonts w:ascii="Arial" w:cs="Arial" w:eastAsia="Arial" w:hAnsi="Arial"/>
          <w:sz w:val="18"/>
          <w:szCs w:val="18"/>
          <w:color w:val="0E0E0E"/>
        </w:rPr>
        <w:t>te</w:t>
      </w:r>
      <w:r>
        <w:rPr>
          <w:rFonts w:ascii="Arial" w:cs="Arial" w:eastAsia="Arial" w:hAnsi="Arial"/>
          <w:sz w:val="18"/>
          <w:szCs w:val="18"/>
          <w:color w:val="1D1D1D"/>
        </w:rPr>
        <w:t>rmine o</w:t>
      </w:r>
      <w:r>
        <w:rPr>
          <w:rFonts w:ascii="Arial" w:cs="Arial" w:eastAsia="Arial" w:hAnsi="Arial"/>
          <w:sz w:val="18"/>
          <w:szCs w:val="18"/>
          <w:color w:val="0E0E0E"/>
        </w:rPr>
        <w:t>r alt</w:t>
      </w:r>
      <w:r>
        <w:rPr>
          <w:rFonts w:ascii="Arial" w:cs="Arial" w:eastAsia="Arial" w:hAnsi="Arial"/>
          <w:sz w:val="18"/>
          <w:szCs w:val="18"/>
          <w:color w:val="1D1D1D"/>
        </w:rPr>
        <w:t>er t</w:t>
      </w:r>
      <w:r>
        <w:rPr>
          <w:rFonts w:ascii="Arial" w:cs="Arial" w:eastAsia="Arial" w:hAnsi="Arial"/>
          <w:sz w:val="18"/>
          <w:szCs w:val="18"/>
          <w:color w:val="0E0E0E"/>
        </w:rPr>
        <w:t>h</w:t>
      </w:r>
      <w:r>
        <w:rPr>
          <w:rFonts w:ascii="Arial" w:cs="Arial" w:eastAsia="Arial" w:hAnsi="Arial"/>
          <w:sz w:val="18"/>
          <w:szCs w:val="18"/>
          <w:color w:val="1D1D1D"/>
        </w:rPr>
        <w:t>e rig</w:t>
      </w:r>
      <w:r>
        <w:rPr>
          <w:rFonts w:ascii="Arial" w:cs="Arial" w:eastAsia="Arial" w:hAnsi="Arial"/>
          <w:sz w:val="18"/>
          <w:szCs w:val="18"/>
          <w:color w:val="0E0E0E"/>
        </w:rPr>
        <w:t>h</w:t>
      </w:r>
      <w:r>
        <w:rPr>
          <w:rFonts w:ascii="Arial" w:cs="Arial" w:eastAsia="Arial" w:hAnsi="Arial"/>
          <w:sz w:val="18"/>
          <w:szCs w:val="18"/>
          <w:color w:val="1D1D1D"/>
        </w:rPr>
        <w:t>ts, prefere</w:t>
      </w:r>
      <w:r>
        <w:rPr>
          <w:rFonts w:ascii="Arial" w:cs="Arial" w:eastAsia="Arial" w:hAnsi="Arial"/>
          <w:sz w:val="18"/>
          <w:szCs w:val="18"/>
          <w:color w:val="0E0E0E"/>
        </w:rPr>
        <w:t>n</w:t>
      </w:r>
      <w:r>
        <w:rPr>
          <w:rFonts w:ascii="Arial" w:cs="Arial" w:eastAsia="Arial" w:hAnsi="Arial"/>
          <w:sz w:val="18"/>
          <w:szCs w:val="18"/>
          <w:color w:val="1D1D1D"/>
        </w:rPr>
        <w:t xml:space="preserve">ces, </w:t>
      </w:r>
      <w:r>
        <w:rPr>
          <w:rFonts w:ascii="Arial" w:cs="Arial" w:eastAsia="Arial" w:hAnsi="Arial"/>
          <w:sz w:val="18"/>
          <w:szCs w:val="18"/>
          <w:color w:val="0E0E0E"/>
        </w:rPr>
        <w:t>p</w:t>
      </w:r>
      <w:r>
        <w:rPr>
          <w:rFonts w:ascii="Arial" w:cs="Arial" w:eastAsia="Arial" w:hAnsi="Arial"/>
          <w:sz w:val="18"/>
          <w:szCs w:val="18"/>
          <w:color w:val="1D1D1D"/>
        </w:rPr>
        <w:t>riv</w:t>
      </w:r>
      <w:r>
        <w:rPr>
          <w:rFonts w:ascii="Arial" w:cs="Arial" w:eastAsia="Arial" w:hAnsi="Arial"/>
          <w:sz w:val="18"/>
          <w:szCs w:val="18"/>
          <w:color w:val="0E0E0E"/>
        </w:rPr>
        <w:t>il</w:t>
      </w:r>
      <w:r>
        <w:rPr>
          <w:rFonts w:ascii="Arial" w:cs="Arial" w:eastAsia="Arial" w:hAnsi="Arial"/>
          <w:sz w:val="18"/>
          <w:szCs w:val="18"/>
          <w:color w:val="1D1D1D"/>
        </w:rPr>
        <w:t>eges a</w:t>
      </w:r>
      <w:r>
        <w:rPr>
          <w:rFonts w:ascii="Arial" w:cs="Arial" w:eastAsia="Arial" w:hAnsi="Arial"/>
          <w:sz w:val="18"/>
          <w:szCs w:val="18"/>
          <w:color w:val="0E0E0E"/>
        </w:rPr>
        <w:t xml:space="preserve">nd </w:t>
      </w:r>
      <w:r>
        <w:rPr>
          <w:rFonts w:ascii="Arial" w:cs="Arial" w:eastAsia="Arial" w:hAnsi="Arial"/>
          <w:sz w:val="18"/>
          <w:szCs w:val="18"/>
          <w:color w:val="1D1D1D"/>
        </w:rPr>
        <w:t>re</w:t>
      </w:r>
      <w:r>
        <w:rPr>
          <w:rFonts w:ascii="Arial" w:cs="Arial" w:eastAsia="Arial" w:hAnsi="Arial"/>
          <w:sz w:val="18"/>
          <w:szCs w:val="18"/>
          <w:color w:val="333333"/>
        </w:rPr>
        <w:t>s</w:t>
      </w:r>
      <w:r>
        <w:rPr>
          <w:rFonts w:ascii="Arial" w:cs="Arial" w:eastAsia="Arial" w:hAnsi="Arial"/>
          <w:sz w:val="18"/>
          <w:szCs w:val="18"/>
          <w:color w:val="0E0E0E"/>
        </w:rPr>
        <w:t>tri</w:t>
      </w:r>
      <w:r>
        <w:rPr>
          <w:rFonts w:ascii="Arial" w:cs="Arial" w:eastAsia="Arial" w:hAnsi="Arial"/>
          <w:sz w:val="18"/>
          <w:szCs w:val="18"/>
          <w:color w:val="1D1D1D"/>
        </w:rPr>
        <w:t>ctions gra</w:t>
      </w:r>
      <w:r>
        <w:rPr>
          <w:rFonts w:ascii="Arial" w:cs="Arial" w:eastAsia="Arial" w:hAnsi="Arial"/>
          <w:sz w:val="18"/>
          <w:szCs w:val="18"/>
          <w:color w:val="0E0E0E"/>
        </w:rPr>
        <w:t>nt</w:t>
      </w:r>
      <w:r>
        <w:rPr>
          <w:rFonts w:ascii="Arial" w:cs="Arial" w:eastAsia="Arial" w:hAnsi="Arial"/>
          <w:sz w:val="18"/>
          <w:szCs w:val="18"/>
          <w:color w:val="1D1D1D"/>
        </w:rPr>
        <w:t>e</w:t>
      </w:r>
      <w:r>
        <w:rPr>
          <w:rFonts w:ascii="Arial" w:cs="Arial" w:eastAsia="Arial" w:hAnsi="Arial"/>
          <w:sz w:val="18"/>
          <w:szCs w:val="18"/>
          <w:color w:val="0E0E0E"/>
        </w:rPr>
        <w:t xml:space="preserve">d </w:t>
      </w:r>
      <w:r>
        <w:rPr>
          <w:rFonts w:ascii="Arial" w:cs="Arial" w:eastAsia="Arial" w:hAnsi="Arial"/>
          <w:sz w:val="18"/>
          <w:szCs w:val="18"/>
          <w:color w:val="1D1D1D"/>
        </w:rPr>
        <w:t>to or im</w:t>
      </w:r>
      <w:r>
        <w:rPr>
          <w:rFonts w:ascii="Arial" w:cs="Arial" w:eastAsia="Arial" w:hAnsi="Arial"/>
          <w:sz w:val="18"/>
          <w:szCs w:val="18"/>
          <w:color w:val="0E0E0E"/>
        </w:rPr>
        <w:t>p</w:t>
      </w:r>
      <w:r>
        <w:rPr>
          <w:rFonts w:ascii="Arial" w:cs="Arial" w:eastAsia="Arial" w:hAnsi="Arial"/>
          <w:sz w:val="18"/>
          <w:szCs w:val="18"/>
          <w:color w:val="1D1D1D"/>
        </w:rPr>
        <w:t>o</w:t>
      </w:r>
      <w:r>
        <w:rPr>
          <w:rFonts w:ascii="Arial" w:cs="Arial" w:eastAsia="Arial" w:hAnsi="Arial"/>
          <w:sz w:val="18"/>
          <w:szCs w:val="18"/>
          <w:color w:val="0E0E0E"/>
        </w:rPr>
        <w:t>s</w:t>
      </w:r>
      <w:r>
        <w:rPr>
          <w:rFonts w:ascii="Arial" w:cs="Arial" w:eastAsia="Arial" w:hAnsi="Arial"/>
          <w:sz w:val="18"/>
          <w:szCs w:val="18"/>
          <w:color w:val="1D1D1D"/>
        </w:rPr>
        <w:t>e</w:t>
      </w:r>
      <w:r>
        <w:rPr>
          <w:rFonts w:ascii="Arial" w:cs="Arial" w:eastAsia="Arial" w:hAnsi="Arial"/>
          <w:sz w:val="18"/>
          <w:szCs w:val="18"/>
          <w:color w:val="0E0E0E"/>
        </w:rPr>
        <w:t>d up</w:t>
      </w:r>
      <w:r>
        <w:rPr>
          <w:rFonts w:ascii="Arial" w:cs="Arial" w:eastAsia="Arial" w:hAnsi="Arial"/>
          <w:sz w:val="18"/>
          <w:szCs w:val="18"/>
          <w:color w:val="1D1D1D"/>
        </w:rPr>
        <w:t>o</w:t>
      </w:r>
      <w:r>
        <w:rPr>
          <w:rFonts w:ascii="Arial" w:cs="Arial" w:eastAsia="Arial" w:hAnsi="Arial"/>
          <w:sz w:val="18"/>
          <w:szCs w:val="18"/>
          <w:color w:val="0E0E0E"/>
        </w:rPr>
        <w:t xml:space="preserve">n </w:t>
      </w:r>
      <w:r>
        <w:rPr>
          <w:rFonts w:ascii="Arial" w:cs="Arial" w:eastAsia="Arial" w:hAnsi="Arial"/>
          <w:sz w:val="18"/>
          <w:szCs w:val="18"/>
          <w:color w:val="1D1D1D"/>
        </w:rPr>
        <w:t>a</w:t>
      </w:r>
      <w:r>
        <w:rPr>
          <w:rFonts w:ascii="Arial" w:cs="Arial" w:eastAsia="Arial" w:hAnsi="Arial"/>
          <w:sz w:val="18"/>
          <w:szCs w:val="18"/>
          <w:color w:val="0E0E0E"/>
        </w:rPr>
        <w:t>n</w:t>
      </w:r>
      <w:r>
        <w:rPr>
          <w:rFonts w:ascii="Arial" w:cs="Arial" w:eastAsia="Arial" w:hAnsi="Arial"/>
          <w:sz w:val="18"/>
          <w:szCs w:val="18"/>
          <w:color w:val="1D1D1D"/>
        </w:rPr>
        <w:t>y w</w:t>
      </w:r>
      <w:r>
        <w:rPr>
          <w:rFonts w:ascii="Arial" w:cs="Arial" w:eastAsia="Arial" w:hAnsi="Arial"/>
          <w:sz w:val="18"/>
          <w:szCs w:val="18"/>
          <w:color w:val="0E0E0E"/>
        </w:rPr>
        <w:t>h</w:t>
      </w:r>
      <w:r>
        <w:rPr>
          <w:rFonts w:ascii="Arial" w:cs="Arial" w:eastAsia="Arial" w:hAnsi="Arial"/>
          <w:sz w:val="18"/>
          <w:szCs w:val="18"/>
          <w:color w:val="1D1D1D"/>
        </w:rPr>
        <w:t>olly</w:t>
      </w:r>
      <w:r>
        <w:rPr>
          <w:rFonts w:ascii="Arial" w:cs="Arial" w:eastAsia="Arial" w:hAnsi="Arial"/>
          <w:sz w:val="18"/>
          <w:szCs w:val="18"/>
          <w:color w:val="0E0E0E"/>
        </w:rPr>
        <w:t xml:space="preserve"> u</w:t>
      </w:r>
      <w:r>
        <w:rPr>
          <w:rFonts w:ascii="Arial" w:cs="Arial" w:eastAsia="Arial" w:hAnsi="Arial"/>
          <w:sz w:val="18"/>
          <w:szCs w:val="18"/>
          <w:color w:val="1D1D1D"/>
        </w:rPr>
        <w:t>niss</w:t>
      </w:r>
      <w:r>
        <w:rPr>
          <w:rFonts w:ascii="Arial" w:cs="Arial" w:eastAsia="Arial" w:hAnsi="Arial"/>
          <w:sz w:val="18"/>
          <w:szCs w:val="18"/>
          <w:color w:val="0E0E0E"/>
        </w:rPr>
        <w:t>u</w:t>
      </w:r>
      <w:r>
        <w:rPr>
          <w:rFonts w:ascii="Arial" w:cs="Arial" w:eastAsia="Arial" w:hAnsi="Arial"/>
          <w:sz w:val="18"/>
          <w:szCs w:val="18"/>
          <w:color w:val="1D1D1D"/>
        </w:rPr>
        <w:t>e</w:t>
      </w:r>
      <w:r>
        <w:rPr>
          <w:rFonts w:ascii="Arial" w:cs="Arial" w:eastAsia="Arial" w:hAnsi="Arial"/>
          <w:sz w:val="18"/>
          <w:szCs w:val="18"/>
          <w:color w:val="0E0E0E"/>
        </w:rPr>
        <w:t xml:space="preserve">d </w:t>
      </w:r>
      <w:r>
        <w:rPr>
          <w:rFonts w:ascii="Arial" w:cs="Arial" w:eastAsia="Arial" w:hAnsi="Arial"/>
          <w:sz w:val="18"/>
          <w:szCs w:val="18"/>
          <w:color w:val="1D1D1D"/>
        </w:rPr>
        <w:t>series of Pr</w:t>
      </w:r>
      <w:r>
        <w:rPr>
          <w:rFonts w:ascii="Arial" w:cs="Arial" w:eastAsia="Arial" w:hAnsi="Arial"/>
          <w:sz w:val="18"/>
          <w:szCs w:val="18"/>
          <w:color w:val="333333"/>
        </w:rPr>
        <w:t>e</w:t>
      </w:r>
      <w:r>
        <w:rPr>
          <w:rFonts w:ascii="Arial" w:cs="Arial" w:eastAsia="Arial" w:hAnsi="Arial"/>
          <w:sz w:val="18"/>
          <w:szCs w:val="18"/>
          <w:color w:val="1D1D1D"/>
        </w:rPr>
        <w:t>fe</w:t>
      </w:r>
      <w:r>
        <w:rPr>
          <w:rFonts w:ascii="Arial" w:cs="Arial" w:eastAsia="Arial" w:hAnsi="Arial"/>
          <w:sz w:val="18"/>
          <w:szCs w:val="18"/>
          <w:color w:val="0E0E0E"/>
        </w:rPr>
        <w:t>rr</w:t>
      </w:r>
      <w:r>
        <w:rPr>
          <w:rFonts w:ascii="Arial" w:cs="Arial" w:eastAsia="Arial" w:hAnsi="Arial"/>
          <w:sz w:val="18"/>
          <w:szCs w:val="18"/>
          <w:color w:val="1D1D1D"/>
        </w:rPr>
        <w:t>ed S</w:t>
      </w:r>
      <w:r>
        <w:rPr>
          <w:rFonts w:ascii="Arial" w:cs="Arial" w:eastAsia="Arial" w:hAnsi="Arial"/>
          <w:sz w:val="18"/>
          <w:szCs w:val="18"/>
          <w:color w:val="0E0E0E"/>
        </w:rPr>
        <w:t>t</w:t>
      </w:r>
      <w:r>
        <w:rPr>
          <w:rFonts w:ascii="Arial" w:cs="Arial" w:eastAsia="Arial" w:hAnsi="Arial"/>
          <w:sz w:val="18"/>
          <w:szCs w:val="18"/>
          <w:color w:val="1D1D1D"/>
        </w:rPr>
        <w:t>oc</w:t>
      </w:r>
      <w:r>
        <w:rPr>
          <w:rFonts w:ascii="Arial" w:cs="Arial" w:eastAsia="Arial" w:hAnsi="Arial"/>
          <w:sz w:val="18"/>
          <w:szCs w:val="18"/>
          <w:color w:val="0E0E0E"/>
        </w:rPr>
        <w:t>k an</w:t>
      </w:r>
      <w:r>
        <w:rPr>
          <w:rFonts w:ascii="Arial" w:cs="Arial" w:eastAsia="Arial" w:hAnsi="Arial"/>
          <w:sz w:val="18"/>
          <w:szCs w:val="18"/>
          <w:color w:val="1D1D1D"/>
        </w:rPr>
        <w:t>d</w:t>
      </w:r>
      <w:r>
        <w:rPr>
          <w:rFonts w:ascii="Arial" w:cs="Arial" w:eastAsia="Arial" w:hAnsi="Arial"/>
          <w:sz w:val="18"/>
          <w:szCs w:val="18"/>
          <w:color w:val="0E0E0E"/>
        </w:rPr>
        <w:t xml:space="preserve"> th</w:t>
      </w:r>
      <w:r>
        <w:rPr>
          <w:rFonts w:ascii="Arial" w:cs="Arial" w:eastAsia="Arial" w:hAnsi="Arial"/>
          <w:sz w:val="18"/>
          <w:szCs w:val="18"/>
          <w:color w:val="1D1D1D"/>
        </w:rPr>
        <w:t>e</w:t>
      </w:r>
      <w:r>
        <w:rPr>
          <w:rFonts w:ascii="Arial" w:cs="Arial" w:eastAsia="Arial" w:hAnsi="Arial"/>
          <w:sz w:val="18"/>
          <w:szCs w:val="18"/>
          <w:color w:val="0E0E0E"/>
        </w:rPr>
        <w:t xml:space="preserve"> num</w:t>
      </w:r>
      <w:r>
        <w:rPr>
          <w:rFonts w:ascii="Arial" w:cs="Arial" w:eastAsia="Arial" w:hAnsi="Arial"/>
          <w:sz w:val="18"/>
          <w:szCs w:val="18"/>
          <w:color w:val="1D1D1D"/>
        </w:rPr>
        <w:t>be</w:t>
      </w:r>
      <w:r>
        <w:rPr>
          <w:rFonts w:ascii="Arial" w:cs="Arial" w:eastAsia="Arial" w:hAnsi="Arial"/>
          <w:sz w:val="18"/>
          <w:szCs w:val="18"/>
          <w:color w:val="0E0E0E"/>
        </w:rPr>
        <w:t xml:space="preserve">r </w:t>
      </w:r>
      <w:r>
        <w:rPr>
          <w:rFonts w:ascii="Arial" w:cs="Arial" w:eastAsia="Arial" w:hAnsi="Arial"/>
          <w:sz w:val="18"/>
          <w:szCs w:val="18"/>
          <w:color w:val="1D1D1D"/>
        </w:rPr>
        <w:t>of</w:t>
      </w:r>
      <w:r>
        <w:rPr>
          <w:rFonts w:ascii="Arial" w:cs="Arial" w:eastAsia="Arial" w:hAnsi="Arial"/>
          <w:sz w:val="18"/>
          <w:szCs w:val="18"/>
          <w:color w:val="0E0E0E"/>
        </w:rPr>
        <w:t xml:space="preserve"> </w:t>
      </w:r>
      <w:r>
        <w:rPr>
          <w:rFonts w:ascii="Arial" w:cs="Arial" w:eastAsia="Arial" w:hAnsi="Arial"/>
          <w:sz w:val="18"/>
          <w:szCs w:val="18"/>
          <w:color w:val="1D1D1D"/>
        </w:rPr>
        <w:t>s</w:t>
      </w:r>
      <w:r>
        <w:rPr>
          <w:rFonts w:ascii="Arial" w:cs="Arial" w:eastAsia="Arial" w:hAnsi="Arial"/>
          <w:sz w:val="18"/>
          <w:szCs w:val="18"/>
          <w:color w:val="0E0E0E"/>
        </w:rPr>
        <w:t>h</w:t>
      </w:r>
      <w:r>
        <w:rPr>
          <w:rFonts w:ascii="Arial" w:cs="Arial" w:eastAsia="Arial" w:hAnsi="Arial"/>
          <w:sz w:val="18"/>
          <w:szCs w:val="18"/>
          <w:color w:val="1D1D1D"/>
        </w:rPr>
        <w:t>a</w:t>
      </w:r>
      <w:r>
        <w:rPr>
          <w:rFonts w:ascii="Arial" w:cs="Arial" w:eastAsia="Arial" w:hAnsi="Arial"/>
          <w:sz w:val="18"/>
          <w:szCs w:val="18"/>
          <w:color w:val="0E0E0E"/>
        </w:rPr>
        <w:t>r</w:t>
      </w:r>
      <w:r>
        <w:rPr>
          <w:rFonts w:ascii="Arial" w:cs="Arial" w:eastAsia="Arial" w:hAnsi="Arial"/>
          <w:sz w:val="18"/>
          <w:szCs w:val="18"/>
          <w:color w:val="1D1D1D"/>
        </w:rPr>
        <w:t xml:space="preserve">es </w:t>
      </w:r>
      <w:r>
        <w:rPr>
          <w:rFonts w:ascii="Arial" w:cs="Arial" w:eastAsia="Arial" w:hAnsi="Arial"/>
          <w:sz w:val="18"/>
          <w:szCs w:val="18"/>
          <w:color w:val="0E0E0E"/>
        </w:rPr>
        <w:t>c</w:t>
      </w:r>
      <w:r>
        <w:rPr>
          <w:rFonts w:ascii="Arial" w:cs="Arial" w:eastAsia="Arial" w:hAnsi="Arial"/>
          <w:sz w:val="18"/>
          <w:szCs w:val="18"/>
          <w:color w:val="1D1D1D"/>
        </w:rPr>
        <w:t>onsti</w:t>
      </w:r>
      <w:r>
        <w:rPr>
          <w:rFonts w:ascii="Arial" w:cs="Arial" w:eastAsia="Arial" w:hAnsi="Arial"/>
          <w:sz w:val="18"/>
          <w:szCs w:val="18"/>
          <w:color w:val="0E0E0E"/>
        </w:rPr>
        <w:t>tut</w:t>
      </w:r>
      <w:r>
        <w:rPr>
          <w:rFonts w:ascii="Arial" w:cs="Arial" w:eastAsia="Arial" w:hAnsi="Arial"/>
          <w:sz w:val="18"/>
          <w:szCs w:val="18"/>
          <w:color w:val="1D1D1D"/>
        </w:rPr>
        <w:t>ing a</w:t>
      </w:r>
      <w:r>
        <w:rPr>
          <w:rFonts w:ascii="Arial" w:cs="Arial" w:eastAsia="Arial" w:hAnsi="Arial"/>
          <w:sz w:val="18"/>
          <w:szCs w:val="18"/>
          <w:color w:val="0E0E0E"/>
        </w:rPr>
        <w:t>n</w:t>
      </w:r>
      <w:r>
        <w:rPr>
          <w:rFonts w:ascii="Arial" w:cs="Arial" w:eastAsia="Arial" w:hAnsi="Arial"/>
          <w:sz w:val="18"/>
          <w:szCs w:val="18"/>
          <w:color w:val="1D1D1D"/>
        </w:rPr>
        <w:t>y such se</w:t>
      </w:r>
      <w:r>
        <w:rPr>
          <w:rFonts w:ascii="Arial" w:cs="Arial" w:eastAsia="Arial" w:hAnsi="Arial"/>
          <w:sz w:val="18"/>
          <w:szCs w:val="18"/>
          <w:color w:val="0E0E0E"/>
        </w:rPr>
        <w:t>ri</w:t>
      </w:r>
      <w:r>
        <w:rPr>
          <w:rFonts w:ascii="Arial" w:cs="Arial" w:eastAsia="Arial" w:hAnsi="Arial"/>
          <w:sz w:val="18"/>
          <w:szCs w:val="18"/>
          <w:color w:val="1D1D1D"/>
        </w:rPr>
        <w:t>e</w:t>
      </w:r>
      <w:r>
        <w:rPr>
          <w:rFonts w:ascii="Arial" w:cs="Arial" w:eastAsia="Arial" w:hAnsi="Arial"/>
          <w:sz w:val="18"/>
          <w:szCs w:val="18"/>
          <w:color w:val="333333"/>
        </w:rPr>
        <w:t>s a</w:t>
      </w:r>
      <w:r>
        <w:rPr>
          <w:rFonts w:ascii="Arial" w:cs="Arial" w:eastAsia="Arial" w:hAnsi="Arial"/>
          <w:sz w:val="18"/>
          <w:szCs w:val="18"/>
          <w:color w:val="0E0E0E"/>
        </w:rPr>
        <w:t>nd</w:t>
      </w:r>
      <w:r>
        <w:rPr>
          <w:rFonts w:ascii="Arial" w:cs="Arial" w:eastAsia="Arial" w:hAnsi="Arial"/>
          <w:sz w:val="18"/>
          <w:szCs w:val="18"/>
          <w:color w:val="1D1D1D"/>
        </w:rPr>
        <w:t xml:space="preserve"> t</w:t>
      </w:r>
      <w:r>
        <w:rPr>
          <w:rFonts w:ascii="Arial" w:cs="Arial" w:eastAsia="Arial" w:hAnsi="Arial"/>
          <w:sz w:val="18"/>
          <w:szCs w:val="18"/>
          <w:color w:val="0E0E0E"/>
        </w:rPr>
        <w:t>h</w:t>
      </w:r>
      <w:r>
        <w:rPr>
          <w:rFonts w:ascii="Arial" w:cs="Arial" w:eastAsia="Arial" w:hAnsi="Arial"/>
          <w:sz w:val="18"/>
          <w:szCs w:val="18"/>
          <w:color w:val="1D1D1D"/>
        </w:rPr>
        <w:t>e</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6"/>
          <w:szCs w:val="16"/>
          <w:color w:val="0E0E0E"/>
        </w:rPr>
        <w:t>d</w:t>
      </w:r>
      <w:r>
        <w:rPr>
          <w:rFonts w:ascii="Arial" w:cs="Arial" w:eastAsia="Arial" w:hAnsi="Arial"/>
          <w:sz w:val="16"/>
          <w:szCs w:val="16"/>
          <w:color w:val="1D1D1D"/>
        </w:rPr>
        <w:t>es</w:t>
      </w:r>
      <w:r>
        <w:rPr>
          <w:rFonts w:ascii="Arial" w:cs="Arial" w:eastAsia="Arial" w:hAnsi="Arial"/>
          <w:sz w:val="16"/>
          <w:szCs w:val="16"/>
          <w:color w:val="0E0E0E"/>
        </w:rPr>
        <w:t>i</w:t>
      </w:r>
      <w:r>
        <w:rPr>
          <w:rFonts w:ascii="Arial" w:cs="Arial" w:eastAsia="Arial" w:hAnsi="Arial"/>
          <w:sz w:val="16"/>
          <w:szCs w:val="16"/>
          <w:color w:val="1D1D1D"/>
        </w:rPr>
        <w:t>gn</w:t>
      </w:r>
      <w:r>
        <w:rPr>
          <w:rFonts w:ascii="Arial" w:cs="Arial" w:eastAsia="Arial" w:hAnsi="Arial"/>
          <w:sz w:val="16"/>
          <w:szCs w:val="16"/>
          <w:color w:val="0E0E0E"/>
        </w:rPr>
        <w:t>at</w:t>
      </w:r>
      <w:r>
        <w:rPr>
          <w:rFonts w:ascii="Arial" w:cs="Arial" w:eastAsia="Arial" w:hAnsi="Arial"/>
          <w:sz w:val="16"/>
          <w:szCs w:val="16"/>
          <w:color w:val="1D1D1D"/>
        </w:rPr>
        <w:t>i</w:t>
      </w:r>
      <w:r>
        <w:rPr>
          <w:rFonts w:ascii="Arial" w:cs="Arial" w:eastAsia="Arial" w:hAnsi="Arial"/>
          <w:sz w:val="16"/>
          <w:szCs w:val="16"/>
          <w:color w:val="0E0E0E"/>
        </w:rPr>
        <w:t>on ther</w:t>
      </w:r>
      <w:r>
        <w:rPr>
          <w:rFonts w:ascii="Arial" w:cs="Arial" w:eastAsia="Arial" w:hAnsi="Arial"/>
          <w:sz w:val="16"/>
          <w:szCs w:val="16"/>
          <w:color w:val="1D1D1D"/>
        </w:rPr>
        <w:t>eof, o</w:t>
      </w:r>
      <w:r>
        <w:rPr>
          <w:rFonts w:ascii="Arial" w:cs="Arial" w:eastAsia="Arial" w:hAnsi="Arial"/>
          <w:sz w:val="16"/>
          <w:szCs w:val="16"/>
          <w:color w:val="0E0E0E"/>
        </w:rPr>
        <w:t xml:space="preserve">r </w:t>
      </w:r>
      <w:r>
        <w:rPr>
          <w:rFonts w:ascii="Arial" w:cs="Arial" w:eastAsia="Arial" w:hAnsi="Arial"/>
          <w:sz w:val="16"/>
          <w:szCs w:val="16"/>
          <w:color w:val="1D1D1D"/>
        </w:rPr>
        <w:t>a</w:t>
      </w:r>
      <w:r>
        <w:rPr>
          <w:rFonts w:ascii="Arial" w:cs="Arial" w:eastAsia="Arial" w:hAnsi="Arial"/>
          <w:sz w:val="16"/>
          <w:szCs w:val="16"/>
          <w:color w:val="0E0E0E"/>
        </w:rPr>
        <w:t xml:space="preserve">ny </w:t>
      </w:r>
      <w:r>
        <w:rPr>
          <w:rFonts w:ascii="Arial" w:cs="Arial" w:eastAsia="Arial" w:hAnsi="Arial"/>
          <w:sz w:val="16"/>
          <w:szCs w:val="16"/>
          <w:color w:val="1D1D1D"/>
        </w:rPr>
        <w:t>of</w:t>
      </w:r>
      <w:r>
        <w:rPr>
          <w:rFonts w:ascii="Arial" w:cs="Arial" w:eastAsia="Arial" w:hAnsi="Arial"/>
          <w:sz w:val="16"/>
          <w:szCs w:val="16"/>
          <w:color w:val="0E0E0E"/>
        </w:rPr>
        <w:t xml:space="preserve"> th</w:t>
      </w:r>
      <w:r>
        <w:rPr>
          <w:rFonts w:ascii="Arial" w:cs="Arial" w:eastAsia="Arial" w:hAnsi="Arial"/>
          <w:sz w:val="16"/>
          <w:szCs w:val="16"/>
          <w:color w:val="1D1D1D"/>
        </w:rPr>
        <w:t>e</w:t>
      </w:r>
      <w:r>
        <w:rPr>
          <w:rFonts w:ascii="Arial" w:cs="Arial" w:eastAsia="Arial" w:hAnsi="Arial"/>
          <w:sz w:val="16"/>
          <w:szCs w:val="16"/>
          <w:color w:val="0E0E0E"/>
        </w:rPr>
        <w:t>m</w:t>
      </w:r>
      <w:r>
        <w:rPr>
          <w:rFonts w:ascii="Arial" w:cs="Arial" w:eastAsia="Arial" w:hAnsi="Arial"/>
          <w:sz w:val="16"/>
          <w:szCs w:val="16"/>
          <w:color w:val="1D1D1D"/>
        </w:rPr>
        <w:t>; an</w:t>
      </w:r>
      <w:r>
        <w:rPr>
          <w:rFonts w:ascii="Arial" w:cs="Arial" w:eastAsia="Arial" w:hAnsi="Arial"/>
          <w:sz w:val="16"/>
          <w:szCs w:val="16"/>
          <w:color w:val="0E0E0E"/>
        </w:rPr>
        <w:t>d t</w:t>
      </w:r>
      <w:r>
        <w:rPr>
          <w:rFonts w:ascii="Arial" w:cs="Arial" w:eastAsia="Arial" w:hAnsi="Arial"/>
          <w:sz w:val="16"/>
          <w:szCs w:val="16"/>
          <w:color w:val="1D1D1D"/>
        </w:rPr>
        <w:t>o</w:t>
      </w:r>
      <w:r>
        <w:rPr>
          <w:rFonts w:ascii="Arial" w:cs="Arial" w:eastAsia="Arial" w:hAnsi="Arial"/>
          <w:sz w:val="16"/>
          <w:szCs w:val="16"/>
          <w:color w:val="0E0E0E"/>
        </w:rPr>
        <w:t xml:space="preserve"> in</w:t>
      </w:r>
      <w:r>
        <w:rPr>
          <w:rFonts w:ascii="Arial" w:cs="Arial" w:eastAsia="Arial" w:hAnsi="Arial"/>
          <w:sz w:val="16"/>
          <w:szCs w:val="16"/>
          <w:color w:val="1D1D1D"/>
        </w:rPr>
        <w:t>creas</w:t>
      </w:r>
      <w:r>
        <w:rPr>
          <w:rFonts w:ascii="Arial" w:cs="Arial" w:eastAsia="Arial" w:hAnsi="Arial"/>
          <w:sz w:val="16"/>
          <w:szCs w:val="16"/>
          <w:color w:val="333333"/>
        </w:rPr>
        <w:t>e</w:t>
      </w:r>
      <w:r>
        <w:rPr>
          <w:rFonts w:ascii="Arial" w:cs="Arial" w:eastAsia="Arial" w:hAnsi="Arial"/>
          <w:sz w:val="16"/>
          <w:szCs w:val="16"/>
          <w:color w:val="0E0E0E"/>
        </w:rPr>
        <w:t xml:space="preserve"> </w:t>
      </w:r>
      <w:r>
        <w:rPr>
          <w:rFonts w:ascii="Arial" w:cs="Arial" w:eastAsia="Arial" w:hAnsi="Arial"/>
          <w:sz w:val="16"/>
          <w:szCs w:val="16"/>
          <w:color w:val="1D1D1D"/>
        </w:rPr>
        <w:t>or</w:t>
      </w:r>
      <w:r>
        <w:rPr>
          <w:rFonts w:ascii="Arial" w:cs="Arial" w:eastAsia="Arial" w:hAnsi="Arial"/>
          <w:sz w:val="16"/>
          <w:szCs w:val="16"/>
          <w:color w:val="0E0E0E"/>
        </w:rPr>
        <w:t xml:space="preserve"> d</w:t>
      </w:r>
      <w:r>
        <w:rPr>
          <w:rFonts w:ascii="Arial" w:cs="Arial" w:eastAsia="Arial" w:hAnsi="Arial"/>
          <w:sz w:val="16"/>
          <w:szCs w:val="16"/>
          <w:color w:val="1D1D1D"/>
        </w:rPr>
        <w:t>ecreas</w:t>
      </w:r>
      <w:r>
        <w:rPr>
          <w:rFonts w:ascii="Arial" w:cs="Arial" w:eastAsia="Arial" w:hAnsi="Arial"/>
          <w:sz w:val="16"/>
          <w:szCs w:val="16"/>
          <w:color w:val="333333"/>
        </w:rPr>
        <w:t>e</w:t>
      </w:r>
      <w:r>
        <w:rPr>
          <w:rFonts w:ascii="Arial" w:cs="Arial" w:eastAsia="Arial" w:hAnsi="Arial"/>
          <w:sz w:val="16"/>
          <w:szCs w:val="16"/>
          <w:color w:val="0E0E0E"/>
        </w:rPr>
        <w:t xml:space="preserve"> </w:t>
      </w:r>
      <w:r>
        <w:rPr>
          <w:rFonts w:ascii="Arial" w:cs="Arial" w:eastAsia="Arial" w:hAnsi="Arial"/>
          <w:sz w:val="16"/>
          <w:szCs w:val="16"/>
          <w:color w:val="1D1D1D"/>
        </w:rPr>
        <w:t>t</w:t>
      </w:r>
      <w:r>
        <w:rPr>
          <w:rFonts w:ascii="Arial" w:cs="Arial" w:eastAsia="Arial" w:hAnsi="Arial"/>
          <w:sz w:val="16"/>
          <w:szCs w:val="16"/>
          <w:color w:val="0E0E0E"/>
        </w:rPr>
        <w:t>h</w:t>
      </w:r>
      <w:r>
        <w:rPr>
          <w:rFonts w:ascii="Arial" w:cs="Arial" w:eastAsia="Arial" w:hAnsi="Arial"/>
          <w:sz w:val="16"/>
          <w:szCs w:val="16"/>
          <w:color w:val="1D1D1D"/>
        </w:rPr>
        <w:t>e</w:t>
      </w:r>
      <w:r>
        <w:rPr>
          <w:rFonts w:ascii="Arial" w:cs="Arial" w:eastAsia="Arial" w:hAnsi="Arial"/>
          <w:sz w:val="16"/>
          <w:szCs w:val="16"/>
          <w:color w:val="0E0E0E"/>
        </w:rPr>
        <w:t xml:space="preserve"> numb</w:t>
      </w:r>
      <w:r>
        <w:rPr>
          <w:rFonts w:ascii="Arial" w:cs="Arial" w:eastAsia="Arial" w:hAnsi="Arial"/>
          <w:sz w:val="16"/>
          <w:szCs w:val="16"/>
          <w:color w:val="1D1D1D"/>
        </w:rPr>
        <w:t>er of s</w:t>
      </w:r>
      <w:r>
        <w:rPr>
          <w:rFonts w:ascii="Arial" w:cs="Arial" w:eastAsia="Arial" w:hAnsi="Arial"/>
          <w:sz w:val="16"/>
          <w:szCs w:val="16"/>
          <w:color w:val="0E0E0E"/>
        </w:rPr>
        <w:t>h</w:t>
      </w:r>
      <w:r>
        <w:rPr>
          <w:rFonts w:ascii="Arial" w:cs="Arial" w:eastAsia="Arial" w:hAnsi="Arial"/>
          <w:sz w:val="16"/>
          <w:szCs w:val="16"/>
          <w:color w:val="1D1D1D"/>
        </w:rPr>
        <w:t>a</w:t>
      </w:r>
      <w:r>
        <w:rPr>
          <w:rFonts w:ascii="Arial" w:cs="Arial" w:eastAsia="Arial" w:hAnsi="Arial"/>
          <w:sz w:val="16"/>
          <w:szCs w:val="16"/>
          <w:color w:val="0E0E0E"/>
        </w:rPr>
        <w:t>re</w:t>
      </w:r>
      <w:r>
        <w:rPr>
          <w:rFonts w:ascii="Arial" w:cs="Arial" w:eastAsia="Arial" w:hAnsi="Arial"/>
          <w:sz w:val="16"/>
          <w:szCs w:val="16"/>
          <w:color w:val="1D1D1D"/>
        </w:rPr>
        <w:t>s o</w:t>
      </w:r>
      <w:r>
        <w:rPr>
          <w:rFonts w:ascii="Arial" w:cs="Arial" w:eastAsia="Arial" w:hAnsi="Arial"/>
          <w:sz w:val="16"/>
          <w:szCs w:val="16"/>
          <w:color w:val="0E0E0E"/>
        </w:rPr>
        <w:t xml:space="preserve">f </w:t>
      </w:r>
      <w:r>
        <w:rPr>
          <w:rFonts w:ascii="Arial" w:cs="Arial" w:eastAsia="Arial" w:hAnsi="Arial"/>
          <w:sz w:val="16"/>
          <w:szCs w:val="16"/>
          <w:color w:val="1D1D1D"/>
        </w:rPr>
        <w:t>a</w:t>
      </w:r>
      <w:r>
        <w:rPr>
          <w:rFonts w:ascii="Arial" w:cs="Arial" w:eastAsia="Arial" w:hAnsi="Arial"/>
          <w:sz w:val="16"/>
          <w:szCs w:val="16"/>
          <w:color w:val="0E0E0E"/>
        </w:rPr>
        <w:t>n</w:t>
      </w:r>
      <w:r>
        <w:rPr>
          <w:rFonts w:ascii="Arial" w:cs="Arial" w:eastAsia="Arial" w:hAnsi="Arial"/>
          <w:sz w:val="16"/>
          <w:szCs w:val="16"/>
          <w:color w:val="1D1D1D"/>
        </w:rPr>
        <w:t>y serie</w:t>
      </w:r>
      <w:r>
        <w:rPr>
          <w:rFonts w:ascii="Arial" w:cs="Arial" w:eastAsia="Arial" w:hAnsi="Arial"/>
          <w:sz w:val="16"/>
          <w:szCs w:val="16"/>
          <w:color w:val="333333"/>
        </w:rPr>
        <w:t>s</w:t>
      </w:r>
      <w:r>
        <w:rPr>
          <w:rFonts w:ascii="Arial" w:cs="Arial" w:eastAsia="Arial" w:hAnsi="Arial"/>
          <w:sz w:val="16"/>
          <w:szCs w:val="16"/>
          <w:color w:val="0E0E0E"/>
        </w:rPr>
        <w:t xml:space="preserve"> </w:t>
      </w:r>
      <w:r>
        <w:rPr>
          <w:rFonts w:ascii="Arial" w:cs="Arial" w:eastAsia="Arial" w:hAnsi="Arial"/>
          <w:sz w:val="16"/>
          <w:szCs w:val="16"/>
          <w:color w:val="1D1D1D"/>
        </w:rPr>
        <w:t>s</w:t>
      </w:r>
      <w:r>
        <w:rPr>
          <w:rFonts w:ascii="Arial" w:cs="Arial" w:eastAsia="Arial" w:hAnsi="Arial"/>
          <w:sz w:val="16"/>
          <w:szCs w:val="16"/>
          <w:color w:val="0E0E0E"/>
        </w:rPr>
        <w:t>ub</w:t>
      </w:r>
      <w:r>
        <w:rPr>
          <w:rFonts w:ascii="Arial" w:cs="Arial" w:eastAsia="Arial" w:hAnsi="Arial"/>
          <w:sz w:val="16"/>
          <w:szCs w:val="16"/>
          <w:color w:val="1D1D1D"/>
        </w:rPr>
        <w:t>se</w:t>
      </w:r>
      <w:r>
        <w:rPr>
          <w:rFonts w:ascii="Arial" w:cs="Arial" w:eastAsia="Arial" w:hAnsi="Arial"/>
          <w:sz w:val="16"/>
          <w:szCs w:val="16"/>
          <w:color w:val="0E0E0E"/>
        </w:rPr>
        <w:t>qu</w:t>
      </w:r>
      <w:r>
        <w:rPr>
          <w:rFonts w:ascii="Arial" w:cs="Arial" w:eastAsia="Arial" w:hAnsi="Arial"/>
          <w:sz w:val="16"/>
          <w:szCs w:val="16"/>
          <w:color w:val="1D1D1D"/>
        </w:rPr>
        <w:t>e</w:t>
      </w:r>
      <w:r>
        <w:rPr>
          <w:rFonts w:ascii="Arial" w:cs="Arial" w:eastAsia="Arial" w:hAnsi="Arial"/>
          <w:sz w:val="16"/>
          <w:szCs w:val="16"/>
          <w:color w:val="0E0E0E"/>
        </w:rPr>
        <w:t>n</w:t>
      </w:r>
      <w:r>
        <w:rPr>
          <w:rFonts w:ascii="Arial" w:cs="Arial" w:eastAsia="Arial" w:hAnsi="Arial"/>
          <w:sz w:val="16"/>
          <w:szCs w:val="16"/>
          <w:color w:val="1D1D1D"/>
        </w:rPr>
        <w:t>t to</w:t>
      </w:r>
      <w:r>
        <w:rPr>
          <w:rFonts w:ascii="Arial" w:cs="Arial" w:eastAsia="Arial" w:hAnsi="Arial"/>
          <w:sz w:val="16"/>
          <w:szCs w:val="16"/>
          <w:color w:val="0E0E0E"/>
        </w:rPr>
        <w:t xml:space="preserve"> th</w:t>
      </w:r>
      <w:r>
        <w:rPr>
          <w:rFonts w:ascii="Arial" w:cs="Arial" w:eastAsia="Arial" w:hAnsi="Arial"/>
          <w:sz w:val="16"/>
          <w:szCs w:val="16"/>
          <w:color w:val="1D1D1D"/>
        </w:rPr>
        <w:t>e</w:t>
      </w:r>
    </w:p>
    <w:p>
      <w:pPr>
        <w:spacing w:after="0" w:line="46" w:lineRule="exact"/>
        <w:rPr>
          <w:sz w:val="20"/>
          <w:szCs w:val="20"/>
          <w:color w:val="auto"/>
        </w:rPr>
      </w:pPr>
    </w:p>
    <w:p>
      <w:pPr>
        <w:ind w:left="1420" w:right="800"/>
        <w:spacing w:after="0" w:line="265" w:lineRule="auto"/>
        <w:rPr>
          <w:sz w:val="20"/>
          <w:szCs w:val="20"/>
          <w:color w:val="auto"/>
        </w:rPr>
      </w:pPr>
      <w:r>
        <w:rPr>
          <w:rFonts w:ascii="Arial" w:cs="Arial" w:eastAsia="Arial" w:hAnsi="Arial"/>
          <w:sz w:val="17"/>
          <w:szCs w:val="17"/>
          <w:color w:val="0E0E0E"/>
        </w:rPr>
        <w:t>i</w:t>
      </w:r>
      <w:r>
        <w:rPr>
          <w:rFonts w:ascii="Arial" w:cs="Arial" w:eastAsia="Arial" w:hAnsi="Arial"/>
          <w:sz w:val="17"/>
          <w:szCs w:val="17"/>
          <w:color w:val="1D1D1D"/>
        </w:rPr>
        <w:t>ss</w:t>
      </w:r>
      <w:r>
        <w:rPr>
          <w:rFonts w:ascii="Arial" w:cs="Arial" w:eastAsia="Arial" w:hAnsi="Arial"/>
          <w:sz w:val="17"/>
          <w:szCs w:val="17"/>
          <w:color w:val="0E0E0E"/>
        </w:rPr>
        <w:t>u</w:t>
      </w:r>
      <w:r>
        <w:rPr>
          <w:rFonts w:ascii="Arial" w:cs="Arial" w:eastAsia="Arial" w:hAnsi="Arial"/>
          <w:sz w:val="17"/>
          <w:szCs w:val="17"/>
          <w:color w:val="1D1D1D"/>
        </w:rPr>
        <w:t>ance of s</w:t>
      </w:r>
      <w:r>
        <w:rPr>
          <w:rFonts w:ascii="Arial" w:cs="Arial" w:eastAsia="Arial" w:hAnsi="Arial"/>
          <w:sz w:val="17"/>
          <w:szCs w:val="17"/>
          <w:color w:val="0E0E0E"/>
        </w:rPr>
        <w:t>h</w:t>
      </w:r>
      <w:r>
        <w:rPr>
          <w:rFonts w:ascii="Arial" w:cs="Arial" w:eastAsia="Arial" w:hAnsi="Arial"/>
          <w:sz w:val="17"/>
          <w:szCs w:val="17"/>
          <w:color w:val="1D1D1D"/>
        </w:rPr>
        <w:t>ares of tha</w:t>
      </w:r>
      <w:r>
        <w:rPr>
          <w:rFonts w:ascii="Arial" w:cs="Arial" w:eastAsia="Arial" w:hAnsi="Arial"/>
          <w:sz w:val="17"/>
          <w:szCs w:val="17"/>
          <w:color w:val="0E0E0E"/>
        </w:rPr>
        <w:t xml:space="preserve">t </w:t>
      </w:r>
      <w:r>
        <w:rPr>
          <w:rFonts w:ascii="Arial" w:cs="Arial" w:eastAsia="Arial" w:hAnsi="Arial"/>
          <w:sz w:val="17"/>
          <w:szCs w:val="17"/>
          <w:color w:val="1D1D1D"/>
        </w:rPr>
        <w:t>series, b</w:t>
      </w:r>
      <w:r>
        <w:rPr>
          <w:rFonts w:ascii="Arial" w:cs="Arial" w:eastAsia="Arial" w:hAnsi="Arial"/>
          <w:sz w:val="17"/>
          <w:szCs w:val="17"/>
          <w:color w:val="0E0E0E"/>
        </w:rPr>
        <w:t xml:space="preserve">ut </w:t>
      </w:r>
      <w:r>
        <w:rPr>
          <w:rFonts w:ascii="Arial" w:cs="Arial" w:eastAsia="Arial" w:hAnsi="Arial"/>
          <w:sz w:val="17"/>
          <w:szCs w:val="17"/>
          <w:color w:val="1D1D1D"/>
        </w:rPr>
        <w:t>not</w:t>
      </w:r>
      <w:r>
        <w:rPr>
          <w:rFonts w:ascii="Arial" w:cs="Arial" w:eastAsia="Arial" w:hAnsi="Arial"/>
          <w:sz w:val="17"/>
          <w:szCs w:val="17"/>
          <w:color w:val="0E0E0E"/>
        </w:rPr>
        <w:t xml:space="preserve"> bel</w:t>
      </w:r>
      <w:r>
        <w:rPr>
          <w:rFonts w:ascii="Arial" w:cs="Arial" w:eastAsia="Arial" w:hAnsi="Arial"/>
          <w:sz w:val="17"/>
          <w:szCs w:val="17"/>
          <w:color w:val="1D1D1D"/>
        </w:rPr>
        <w:t>ow</w:t>
      </w:r>
      <w:r>
        <w:rPr>
          <w:rFonts w:ascii="Arial" w:cs="Arial" w:eastAsia="Arial" w:hAnsi="Arial"/>
          <w:sz w:val="17"/>
          <w:szCs w:val="17"/>
          <w:color w:val="0E0E0E"/>
        </w:rPr>
        <w:t xml:space="preserve"> th</w:t>
      </w:r>
      <w:r>
        <w:rPr>
          <w:rFonts w:ascii="Arial" w:cs="Arial" w:eastAsia="Arial" w:hAnsi="Arial"/>
          <w:sz w:val="17"/>
          <w:szCs w:val="17"/>
          <w:color w:val="1D1D1D"/>
        </w:rPr>
        <w:t>e</w:t>
      </w:r>
      <w:r>
        <w:rPr>
          <w:rFonts w:ascii="Arial" w:cs="Arial" w:eastAsia="Arial" w:hAnsi="Arial"/>
          <w:sz w:val="17"/>
          <w:szCs w:val="17"/>
          <w:color w:val="0E0E0E"/>
        </w:rPr>
        <w:t xml:space="preserve"> nu</w:t>
      </w:r>
      <w:r>
        <w:rPr>
          <w:rFonts w:ascii="Arial" w:cs="Arial" w:eastAsia="Arial" w:hAnsi="Arial"/>
          <w:sz w:val="17"/>
          <w:szCs w:val="17"/>
          <w:color w:val="1D1D1D"/>
        </w:rPr>
        <w:t>m</w:t>
      </w:r>
      <w:r>
        <w:rPr>
          <w:rFonts w:ascii="Arial" w:cs="Arial" w:eastAsia="Arial" w:hAnsi="Arial"/>
          <w:sz w:val="17"/>
          <w:szCs w:val="17"/>
          <w:color w:val="0E0E0E"/>
        </w:rPr>
        <w:t>b</w:t>
      </w:r>
      <w:r>
        <w:rPr>
          <w:rFonts w:ascii="Arial" w:cs="Arial" w:eastAsia="Arial" w:hAnsi="Arial"/>
          <w:sz w:val="17"/>
          <w:szCs w:val="17"/>
          <w:color w:val="1D1D1D"/>
        </w:rPr>
        <w:t>er of s</w:t>
      </w:r>
      <w:r>
        <w:rPr>
          <w:rFonts w:ascii="Arial" w:cs="Arial" w:eastAsia="Arial" w:hAnsi="Arial"/>
          <w:sz w:val="17"/>
          <w:szCs w:val="17"/>
          <w:color w:val="0E0E0E"/>
        </w:rPr>
        <w:t>har</w:t>
      </w:r>
      <w:r>
        <w:rPr>
          <w:rFonts w:ascii="Arial" w:cs="Arial" w:eastAsia="Arial" w:hAnsi="Arial"/>
          <w:sz w:val="17"/>
          <w:szCs w:val="17"/>
          <w:color w:val="1D1D1D"/>
        </w:rPr>
        <w:t>es of s</w:t>
      </w:r>
      <w:r>
        <w:rPr>
          <w:rFonts w:ascii="Arial" w:cs="Arial" w:eastAsia="Arial" w:hAnsi="Arial"/>
          <w:sz w:val="17"/>
          <w:szCs w:val="17"/>
          <w:color w:val="0E0E0E"/>
        </w:rPr>
        <w:t>u</w:t>
      </w:r>
      <w:r>
        <w:rPr>
          <w:rFonts w:ascii="Arial" w:cs="Arial" w:eastAsia="Arial" w:hAnsi="Arial"/>
          <w:sz w:val="17"/>
          <w:szCs w:val="17"/>
          <w:color w:val="1D1D1D"/>
        </w:rPr>
        <w:t>c</w:t>
      </w:r>
      <w:r>
        <w:rPr>
          <w:rFonts w:ascii="Arial" w:cs="Arial" w:eastAsia="Arial" w:hAnsi="Arial"/>
          <w:sz w:val="17"/>
          <w:szCs w:val="17"/>
          <w:color w:val="0E0E0E"/>
        </w:rPr>
        <w:t xml:space="preserve">h </w:t>
      </w:r>
      <w:r>
        <w:rPr>
          <w:rFonts w:ascii="Arial" w:cs="Arial" w:eastAsia="Arial" w:hAnsi="Arial"/>
          <w:sz w:val="17"/>
          <w:szCs w:val="17"/>
          <w:color w:val="1D1D1D"/>
        </w:rPr>
        <w:t>se</w:t>
      </w:r>
      <w:r>
        <w:rPr>
          <w:rFonts w:ascii="Arial" w:cs="Arial" w:eastAsia="Arial" w:hAnsi="Arial"/>
          <w:sz w:val="17"/>
          <w:szCs w:val="17"/>
          <w:color w:val="0E0E0E"/>
        </w:rPr>
        <w:t>ri</w:t>
      </w:r>
      <w:r>
        <w:rPr>
          <w:rFonts w:ascii="Arial" w:cs="Arial" w:eastAsia="Arial" w:hAnsi="Arial"/>
          <w:sz w:val="17"/>
          <w:szCs w:val="17"/>
          <w:color w:val="1D1D1D"/>
        </w:rPr>
        <w:t>es</w:t>
      </w:r>
      <w:r>
        <w:rPr>
          <w:rFonts w:ascii="Arial" w:cs="Arial" w:eastAsia="Arial" w:hAnsi="Arial"/>
          <w:sz w:val="17"/>
          <w:szCs w:val="17"/>
          <w:color w:val="0E0E0E"/>
        </w:rPr>
        <w:t xml:space="preserve"> th</w:t>
      </w:r>
      <w:r>
        <w:rPr>
          <w:rFonts w:ascii="Arial" w:cs="Arial" w:eastAsia="Arial" w:hAnsi="Arial"/>
          <w:sz w:val="17"/>
          <w:szCs w:val="17"/>
          <w:color w:val="1D1D1D"/>
        </w:rPr>
        <w:t>e</w:t>
      </w:r>
      <w:r>
        <w:rPr>
          <w:rFonts w:ascii="Arial" w:cs="Arial" w:eastAsia="Arial" w:hAnsi="Arial"/>
          <w:sz w:val="17"/>
          <w:szCs w:val="17"/>
          <w:color w:val="0E0E0E"/>
        </w:rPr>
        <w:t xml:space="preserve">n </w:t>
      </w:r>
      <w:r>
        <w:rPr>
          <w:rFonts w:ascii="Arial" w:cs="Arial" w:eastAsia="Arial" w:hAnsi="Arial"/>
          <w:sz w:val="17"/>
          <w:szCs w:val="17"/>
          <w:color w:val="1D1D1D"/>
        </w:rPr>
        <w:t>outsta</w:t>
      </w:r>
      <w:r>
        <w:rPr>
          <w:rFonts w:ascii="Arial" w:cs="Arial" w:eastAsia="Arial" w:hAnsi="Arial"/>
          <w:sz w:val="17"/>
          <w:szCs w:val="17"/>
          <w:color w:val="0E0E0E"/>
        </w:rPr>
        <w:t>n</w:t>
      </w:r>
      <w:r>
        <w:rPr>
          <w:rFonts w:ascii="Arial" w:cs="Arial" w:eastAsia="Arial" w:hAnsi="Arial"/>
          <w:sz w:val="17"/>
          <w:szCs w:val="17"/>
          <w:color w:val="1D1D1D"/>
        </w:rPr>
        <w:t>ding</w:t>
      </w:r>
      <w:r>
        <w:rPr>
          <w:rFonts w:ascii="Arial" w:cs="Arial" w:eastAsia="Arial" w:hAnsi="Arial"/>
          <w:sz w:val="17"/>
          <w:szCs w:val="17"/>
          <w:color w:val="0E0E0E"/>
        </w:rPr>
        <w:t>. I</w:t>
      </w:r>
      <w:r>
        <w:rPr>
          <w:rFonts w:ascii="Arial" w:cs="Arial" w:eastAsia="Arial" w:hAnsi="Arial"/>
          <w:sz w:val="17"/>
          <w:szCs w:val="17"/>
          <w:color w:val="1D1D1D"/>
        </w:rPr>
        <w:t>n</w:t>
      </w:r>
      <w:r>
        <w:rPr>
          <w:rFonts w:ascii="Arial" w:cs="Arial" w:eastAsia="Arial" w:hAnsi="Arial"/>
          <w:sz w:val="17"/>
          <w:szCs w:val="17"/>
          <w:color w:val="0E0E0E"/>
        </w:rPr>
        <w:t xml:space="preserve"> </w:t>
      </w:r>
      <w:r>
        <w:rPr>
          <w:rFonts w:ascii="Arial" w:cs="Arial" w:eastAsia="Arial" w:hAnsi="Arial"/>
          <w:sz w:val="17"/>
          <w:szCs w:val="17"/>
          <w:color w:val="333333"/>
        </w:rPr>
        <w:t>c</w:t>
      </w:r>
      <w:r>
        <w:rPr>
          <w:rFonts w:ascii="Arial" w:cs="Arial" w:eastAsia="Arial" w:hAnsi="Arial"/>
          <w:sz w:val="17"/>
          <w:szCs w:val="17"/>
          <w:color w:val="1D1D1D"/>
        </w:rPr>
        <w:t>ase</w:t>
      </w:r>
      <w:r>
        <w:rPr>
          <w:rFonts w:ascii="Arial" w:cs="Arial" w:eastAsia="Arial" w:hAnsi="Arial"/>
          <w:sz w:val="17"/>
          <w:szCs w:val="17"/>
          <w:color w:val="0E0E0E"/>
        </w:rPr>
        <w:t xml:space="preserve"> th</w:t>
      </w:r>
      <w:r>
        <w:rPr>
          <w:rFonts w:ascii="Arial" w:cs="Arial" w:eastAsia="Arial" w:hAnsi="Arial"/>
          <w:sz w:val="17"/>
          <w:szCs w:val="17"/>
          <w:color w:val="1D1D1D"/>
        </w:rPr>
        <w:t>e</w:t>
      </w:r>
      <w:r>
        <w:rPr>
          <w:rFonts w:ascii="Arial" w:cs="Arial" w:eastAsia="Arial" w:hAnsi="Arial"/>
          <w:sz w:val="17"/>
          <w:szCs w:val="17"/>
          <w:color w:val="0E0E0E"/>
        </w:rPr>
        <w:t xml:space="preserve"> nu</w:t>
      </w:r>
      <w:r>
        <w:rPr>
          <w:rFonts w:ascii="Arial" w:cs="Arial" w:eastAsia="Arial" w:hAnsi="Arial"/>
          <w:sz w:val="17"/>
          <w:szCs w:val="17"/>
          <w:color w:val="1D1D1D"/>
        </w:rPr>
        <w:t>m</w:t>
      </w:r>
      <w:r>
        <w:rPr>
          <w:rFonts w:ascii="Arial" w:cs="Arial" w:eastAsia="Arial" w:hAnsi="Arial"/>
          <w:sz w:val="17"/>
          <w:szCs w:val="17"/>
          <w:color w:val="0E0E0E"/>
        </w:rPr>
        <w:t>b</w:t>
      </w:r>
      <w:r>
        <w:rPr>
          <w:rFonts w:ascii="Arial" w:cs="Arial" w:eastAsia="Arial" w:hAnsi="Arial"/>
          <w:sz w:val="17"/>
          <w:szCs w:val="17"/>
          <w:color w:val="1D1D1D"/>
        </w:rPr>
        <w:t>e</w:t>
      </w:r>
      <w:r>
        <w:rPr>
          <w:rFonts w:ascii="Arial" w:cs="Arial" w:eastAsia="Arial" w:hAnsi="Arial"/>
          <w:sz w:val="17"/>
          <w:szCs w:val="17"/>
          <w:color w:val="0E0E0E"/>
        </w:rPr>
        <w:t xml:space="preserve">r </w:t>
      </w:r>
      <w:r>
        <w:rPr>
          <w:rFonts w:ascii="Arial" w:cs="Arial" w:eastAsia="Arial" w:hAnsi="Arial"/>
          <w:sz w:val="17"/>
          <w:szCs w:val="17"/>
          <w:color w:val="1D1D1D"/>
        </w:rPr>
        <w:t>of</w:t>
      </w:r>
      <w:r>
        <w:rPr>
          <w:rFonts w:ascii="Arial" w:cs="Arial" w:eastAsia="Arial" w:hAnsi="Arial"/>
          <w:sz w:val="17"/>
          <w:szCs w:val="17"/>
          <w:color w:val="0E0E0E"/>
        </w:rPr>
        <w:t xml:space="preserve"> </w:t>
      </w:r>
      <w:r>
        <w:rPr>
          <w:rFonts w:ascii="Arial" w:cs="Arial" w:eastAsia="Arial" w:hAnsi="Arial"/>
          <w:sz w:val="17"/>
          <w:szCs w:val="17"/>
          <w:color w:val="333333"/>
        </w:rPr>
        <w:t>s</w:t>
      </w:r>
      <w:r>
        <w:rPr>
          <w:rFonts w:ascii="Arial" w:cs="Arial" w:eastAsia="Arial" w:hAnsi="Arial"/>
          <w:sz w:val="17"/>
          <w:szCs w:val="17"/>
          <w:color w:val="0E0E0E"/>
        </w:rPr>
        <w:t>h</w:t>
      </w:r>
      <w:r>
        <w:rPr>
          <w:rFonts w:ascii="Arial" w:cs="Arial" w:eastAsia="Arial" w:hAnsi="Arial"/>
          <w:sz w:val="17"/>
          <w:szCs w:val="17"/>
          <w:color w:val="1D1D1D"/>
        </w:rPr>
        <w:t>a</w:t>
      </w:r>
      <w:r>
        <w:rPr>
          <w:rFonts w:ascii="Arial" w:cs="Arial" w:eastAsia="Arial" w:hAnsi="Arial"/>
          <w:sz w:val="17"/>
          <w:szCs w:val="17"/>
          <w:color w:val="0E0E0E"/>
        </w:rPr>
        <w:t>r</w:t>
      </w:r>
      <w:r>
        <w:rPr>
          <w:rFonts w:ascii="Arial" w:cs="Arial" w:eastAsia="Arial" w:hAnsi="Arial"/>
          <w:sz w:val="17"/>
          <w:szCs w:val="17"/>
          <w:color w:val="1D1D1D"/>
        </w:rPr>
        <w:t>e</w:t>
      </w:r>
      <w:r>
        <w:rPr>
          <w:rFonts w:ascii="Arial" w:cs="Arial" w:eastAsia="Arial" w:hAnsi="Arial"/>
          <w:sz w:val="17"/>
          <w:szCs w:val="17"/>
          <w:color w:val="0E0E0E"/>
        </w:rPr>
        <w:t xml:space="preserve">s </w:t>
      </w:r>
      <w:r>
        <w:rPr>
          <w:rFonts w:ascii="Arial" w:cs="Arial" w:eastAsia="Arial" w:hAnsi="Arial"/>
          <w:sz w:val="17"/>
          <w:szCs w:val="17"/>
          <w:color w:val="1D1D1D"/>
        </w:rPr>
        <w:t>of a</w:t>
      </w:r>
      <w:r>
        <w:rPr>
          <w:rFonts w:ascii="Arial" w:cs="Arial" w:eastAsia="Arial" w:hAnsi="Arial"/>
          <w:sz w:val="17"/>
          <w:szCs w:val="17"/>
          <w:color w:val="0E0E0E"/>
        </w:rPr>
        <w:t xml:space="preserve">ny </w:t>
      </w:r>
      <w:r>
        <w:rPr>
          <w:rFonts w:ascii="Arial" w:cs="Arial" w:eastAsia="Arial" w:hAnsi="Arial"/>
          <w:sz w:val="17"/>
          <w:szCs w:val="17"/>
          <w:color w:val="1D1D1D"/>
        </w:rPr>
        <w:t>se</w:t>
      </w:r>
      <w:r>
        <w:rPr>
          <w:rFonts w:ascii="Arial" w:cs="Arial" w:eastAsia="Arial" w:hAnsi="Arial"/>
          <w:sz w:val="17"/>
          <w:szCs w:val="17"/>
          <w:color w:val="0E0E0E"/>
        </w:rPr>
        <w:t>ri</w:t>
      </w:r>
      <w:r>
        <w:rPr>
          <w:rFonts w:ascii="Arial" w:cs="Arial" w:eastAsia="Arial" w:hAnsi="Arial"/>
          <w:sz w:val="17"/>
          <w:szCs w:val="17"/>
          <w:color w:val="1D1D1D"/>
        </w:rPr>
        <w:t>es s</w:t>
      </w:r>
      <w:r>
        <w:rPr>
          <w:rFonts w:ascii="Arial" w:cs="Arial" w:eastAsia="Arial" w:hAnsi="Arial"/>
          <w:sz w:val="17"/>
          <w:szCs w:val="17"/>
          <w:color w:val="0E0E0E"/>
        </w:rPr>
        <w:t>hall b</w:t>
      </w:r>
      <w:r>
        <w:rPr>
          <w:rFonts w:ascii="Arial" w:cs="Arial" w:eastAsia="Arial" w:hAnsi="Arial"/>
          <w:sz w:val="17"/>
          <w:szCs w:val="17"/>
          <w:color w:val="1D1D1D"/>
        </w:rPr>
        <w:t>e so</w:t>
      </w:r>
      <w:r>
        <w:rPr>
          <w:rFonts w:ascii="Arial" w:cs="Arial" w:eastAsia="Arial" w:hAnsi="Arial"/>
          <w:sz w:val="17"/>
          <w:szCs w:val="17"/>
          <w:color w:val="0E0E0E"/>
        </w:rPr>
        <w:t xml:space="preserve"> d</w:t>
      </w:r>
      <w:r>
        <w:rPr>
          <w:rFonts w:ascii="Arial" w:cs="Arial" w:eastAsia="Arial" w:hAnsi="Arial"/>
          <w:sz w:val="17"/>
          <w:szCs w:val="17"/>
          <w:color w:val="1D1D1D"/>
        </w:rPr>
        <w:t>ecreased</w:t>
      </w:r>
      <w:r>
        <w:rPr>
          <w:rFonts w:ascii="Arial" w:cs="Arial" w:eastAsia="Arial" w:hAnsi="Arial"/>
          <w:sz w:val="17"/>
          <w:szCs w:val="17"/>
          <w:color w:val="333333"/>
        </w:rPr>
        <w:t>,</w:t>
      </w:r>
      <w:r>
        <w:rPr>
          <w:rFonts w:ascii="Arial" w:cs="Arial" w:eastAsia="Arial" w:hAnsi="Arial"/>
          <w:sz w:val="17"/>
          <w:szCs w:val="17"/>
          <w:color w:val="0E0E0E"/>
        </w:rPr>
        <w:t xml:space="preserve"> </w:t>
      </w:r>
      <w:r>
        <w:rPr>
          <w:rFonts w:ascii="Arial" w:cs="Arial" w:eastAsia="Arial" w:hAnsi="Arial"/>
          <w:sz w:val="17"/>
          <w:szCs w:val="17"/>
          <w:color w:val="1D1D1D"/>
        </w:rPr>
        <w:t>the s</w:t>
      </w:r>
      <w:r>
        <w:rPr>
          <w:rFonts w:ascii="Arial" w:cs="Arial" w:eastAsia="Arial" w:hAnsi="Arial"/>
          <w:sz w:val="17"/>
          <w:szCs w:val="17"/>
          <w:color w:val="0E0E0E"/>
        </w:rPr>
        <w:t>h</w:t>
      </w:r>
      <w:r>
        <w:rPr>
          <w:rFonts w:ascii="Arial" w:cs="Arial" w:eastAsia="Arial" w:hAnsi="Arial"/>
          <w:sz w:val="17"/>
          <w:szCs w:val="17"/>
          <w:color w:val="1D1D1D"/>
        </w:rPr>
        <w:t>ares const</w:t>
      </w:r>
      <w:r>
        <w:rPr>
          <w:rFonts w:ascii="Arial" w:cs="Arial" w:eastAsia="Arial" w:hAnsi="Arial"/>
          <w:sz w:val="17"/>
          <w:szCs w:val="17"/>
          <w:color w:val="0E0E0E"/>
        </w:rPr>
        <w:t>itu</w:t>
      </w:r>
      <w:r>
        <w:rPr>
          <w:rFonts w:ascii="Arial" w:cs="Arial" w:eastAsia="Arial" w:hAnsi="Arial"/>
          <w:sz w:val="17"/>
          <w:szCs w:val="17"/>
          <w:color w:val="1D1D1D"/>
        </w:rPr>
        <w:t>ting</w:t>
      </w:r>
    </w:p>
    <w:p>
      <w:pPr>
        <w:ind w:left="1420" w:right="180"/>
        <w:spacing w:after="0" w:line="292" w:lineRule="auto"/>
        <w:rPr>
          <w:sz w:val="20"/>
          <w:szCs w:val="20"/>
          <w:color w:val="auto"/>
        </w:rPr>
      </w:pPr>
      <w:r>
        <w:rPr>
          <w:rFonts w:ascii="Arial" w:cs="Arial" w:eastAsia="Arial" w:hAnsi="Arial"/>
          <w:sz w:val="18"/>
          <w:szCs w:val="18"/>
          <w:color w:val="1D1D1D"/>
        </w:rPr>
        <w:t>suc</w:t>
      </w:r>
      <w:r>
        <w:rPr>
          <w:rFonts w:ascii="Arial" w:cs="Arial" w:eastAsia="Arial" w:hAnsi="Arial"/>
          <w:sz w:val="18"/>
          <w:szCs w:val="18"/>
          <w:color w:val="0E0E0E"/>
        </w:rPr>
        <w:t>h d</w:t>
      </w:r>
      <w:r>
        <w:rPr>
          <w:rFonts w:ascii="Arial" w:cs="Arial" w:eastAsia="Arial" w:hAnsi="Arial"/>
          <w:sz w:val="18"/>
          <w:szCs w:val="18"/>
          <w:color w:val="1D1D1D"/>
        </w:rPr>
        <w:t>ecrease s</w:t>
      </w:r>
      <w:r>
        <w:rPr>
          <w:rFonts w:ascii="Arial" w:cs="Arial" w:eastAsia="Arial" w:hAnsi="Arial"/>
          <w:sz w:val="18"/>
          <w:szCs w:val="18"/>
          <w:color w:val="0E0E0E"/>
        </w:rPr>
        <w:t>h</w:t>
      </w:r>
      <w:r>
        <w:rPr>
          <w:rFonts w:ascii="Arial" w:cs="Arial" w:eastAsia="Arial" w:hAnsi="Arial"/>
          <w:sz w:val="18"/>
          <w:szCs w:val="18"/>
          <w:color w:val="1D1D1D"/>
        </w:rPr>
        <w:t>a</w:t>
      </w:r>
      <w:r>
        <w:rPr>
          <w:rFonts w:ascii="Arial" w:cs="Arial" w:eastAsia="Arial" w:hAnsi="Arial"/>
          <w:sz w:val="18"/>
          <w:szCs w:val="18"/>
          <w:color w:val="0E0E0E"/>
        </w:rPr>
        <w:t>ll</w:t>
      </w:r>
      <w:r>
        <w:rPr>
          <w:rFonts w:ascii="Arial" w:cs="Arial" w:eastAsia="Arial" w:hAnsi="Arial"/>
          <w:sz w:val="18"/>
          <w:szCs w:val="18"/>
          <w:color w:val="1D1D1D"/>
        </w:rPr>
        <w:t xml:space="preserve"> res</w:t>
      </w:r>
      <w:r>
        <w:rPr>
          <w:rFonts w:ascii="Arial" w:cs="Arial" w:eastAsia="Arial" w:hAnsi="Arial"/>
          <w:sz w:val="18"/>
          <w:szCs w:val="18"/>
          <w:color w:val="0E0E0E"/>
        </w:rPr>
        <w:t>u</w:t>
      </w:r>
      <w:r>
        <w:rPr>
          <w:rFonts w:ascii="Arial" w:cs="Arial" w:eastAsia="Arial" w:hAnsi="Arial"/>
          <w:sz w:val="18"/>
          <w:szCs w:val="18"/>
          <w:color w:val="1D1D1D"/>
        </w:rPr>
        <w:t xml:space="preserve">me </w:t>
      </w:r>
      <w:r>
        <w:rPr>
          <w:rFonts w:ascii="Arial" w:cs="Arial" w:eastAsia="Arial" w:hAnsi="Arial"/>
          <w:sz w:val="18"/>
          <w:szCs w:val="18"/>
          <w:color w:val="0E0E0E"/>
        </w:rPr>
        <w:t>th</w:t>
      </w:r>
      <w:r>
        <w:rPr>
          <w:rFonts w:ascii="Arial" w:cs="Arial" w:eastAsia="Arial" w:hAnsi="Arial"/>
          <w:sz w:val="18"/>
          <w:szCs w:val="18"/>
          <w:color w:val="1D1D1D"/>
        </w:rPr>
        <w:t>e sta</w:t>
      </w:r>
      <w:r>
        <w:rPr>
          <w:rFonts w:ascii="Arial" w:cs="Arial" w:eastAsia="Arial" w:hAnsi="Arial"/>
          <w:sz w:val="18"/>
          <w:szCs w:val="18"/>
          <w:color w:val="0E0E0E"/>
        </w:rPr>
        <w:t>tu</w:t>
      </w:r>
      <w:r>
        <w:rPr>
          <w:rFonts w:ascii="Arial" w:cs="Arial" w:eastAsia="Arial" w:hAnsi="Arial"/>
          <w:sz w:val="18"/>
          <w:szCs w:val="18"/>
          <w:color w:val="1D1D1D"/>
        </w:rPr>
        <w:t xml:space="preserve">s </w:t>
      </w:r>
      <w:r>
        <w:rPr>
          <w:rFonts w:ascii="Arial" w:cs="Arial" w:eastAsia="Arial" w:hAnsi="Arial"/>
          <w:sz w:val="18"/>
          <w:szCs w:val="18"/>
          <w:color w:val="0E0E0E"/>
        </w:rPr>
        <w:t>w</w:t>
      </w:r>
      <w:r>
        <w:rPr>
          <w:rFonts w:ascii="Arial" w:cs="Arial" w:eastAsia="Arial" w:hAnsi="Arial"/>
          <w:sz w:val="18"/>
          <w:szCs w:val="18"/>
          <w:color w:val="1D1D1D"/>
        </w:rPr>
        <w:t>hic</w:t>
      </w:r>
      <w:r>
        <w:rPr>
          <w:rFonts w:ascii="Arial" w:cs="Arial" w:eastAsia="Arial" w:hAnsi="Arial"/>
          <w:sz w:val="18"/>
          <w:szCs w:val="18"/>
          <w:color w:val="0E0E0E"/>
        </w:rPr>
        <w:t>h</w:t>
      </w:r>
      <w:r>
        <w:rPr>
          <w:rFonts w:ascii="Arial" w:cs="Arial" w:eastAsia="Arial" w:hAnsi="Arial"/>
          <w:sz w:val="18"/>
          <w:szCs w:val="18"/>
          <w:color w:val="1D1D1D"/>
        </w:rPr>
        <w:t xml:space="preserve"> t</w:t>
      </w:r>
      <w:r>
        <w:rPr>
          <w:rFonts w:ascii="Arial" w:cs="Arial" w:eastAsia="Arial" w:hAnsi="Arial"/>
          <w:sz w:val="18"/>
          <w:szCs w:val="18"/>
          <w:color w:val="0E0E0E"/>
        </w:rPr>
        <w:t>h</w:t>
      </w:r>
      <w:r>
        <w:rPr>
          <w:rFonts w:ascii="Arial" w:cs="Arial" w:eastAsia="Arial" w:hAnsi="Arial"/>
          <w:sz w:val="18"/>
          <w:szCs w:val="18"/>
          <w:color w:val="1D1D1D"/>
        </w:rPr>
        <w:t xml:space="preserve">ey </w:t>
      </w:r>
      <w:r>
        <w:rPr>
          <w:rFonts w:ascii="Arial" w:cs="Arial" w:eastAsia="Arial" w:hAnsi="Arial"/>
          <w:sz w:val="18"/>
          <w:szCs w:val="18"/>
          <w:color w:val="0E0E0E"/>
        </w:rPr>
        <w:t>h</w:t>
      </w:r>
      <w:r>
        <w:rPr>
          <w:rFonts w:ascii="Arial" w:cs="Arial" w:eastAsia="Arial" w:hAnsi="Arial"/>
          <w:sz w:val="18"/>
          <w:szCs w:val="18"/>
          <w:color w:val="1D1D1D"/>
        </w:rPr>
        <w:t>ad pr</w:t>
      </w:r>
      <w:r>
        <w:rPr>
          <w:rFonts w:ascii="Arial" w:cs="Arial" w:eastAsia="Arial" w:hAnsi="Arial"/>
          <w:sz w:val="18"/>
          <w:szCs w:val="18"/>
          <w:color w:val="0E0E0E"/>
        </w:rPr>
        <w:t>i</w:t>
      </w:r>
      <w:r>
        <w:rPr>
          <w:rFonts w:ascii="Arial" w:cs="Arial" w:eastAsia="Arial" w:hAnsi="Arial"/>
          <w:sz w:val="18"/>
          <w:szCs w:val="18"/>
          <w:color w:val="1D1D1D"/>
        </w:rPr>
        <w:t>or t</w:t>
      </w:r>
      <w:r>
        <w:rPr>
          <w:rFonts w:ascii="Arial" w:cs="Arial" w:eastAsia="Arial" w:hAnsi="Arial"/>
          <w:sz w:val="18"/>
          <w:szCs w:val="18"/>
          <w:color w:val="333333"/>
        </w:rPr>
        <w:t>o</w:t>
      </w:r>
      <w:r>
        <w:rPr>
          <w:rFonts w:ascii="Arial" w:cs="Arial" w:eastAsia="Arial" w:hAnsi="Arial"/>
          <w:sz w:val="18"/>
          <w:szCs w:val="18"/>
          <w:color w:val="1D1D1D"/>
        </w:rPr>
        <w:t xml:space="preserve"> the a</w:t>
      </w:r>
      <w:r>
        <w:rPr>
          <w:rFonts w:ascii="Arial" w:cs="Arial" w:eastAsia="Arial" w:hAnsi="Arial"/>
          <w:sz w:val="18"/>
          <w:szCs w:val="18"/>
          <w:color w:val="0E0E0E"/>
        </w:rPr>
        <w:t>d</w:t>
      </w:r>
      <w:r>
        <w:rPr>
          <w:rFonts w:ascii="Arial" w:cs="Arial" w:eastAsia="Arial" w:hAnsi="Arial"/>
          <w:sz w:val="18"/>
          <w:szCs w:val="18"/>
          <w:color w:val="333333"/>
        </w:rPr>
        <w:t>o</w:t>
      </w:r>
      <w:r>
        <w:rPr>
          <w:rFonts w:ascii="Arial" w:cs="Arial" w:eastAsia="Arial" w:hAnsi="Arial"/>
          <w:sz w:val="18"/>
          <w:szCs w:val="18"/>
          <w:color w:val="0E0E0E"/>
        </w:rPr>
        <w:t>p</w:t>
      </w:r>
      <w:r>
        <w:rPr>
          <w:rFonts w:ascii="Arial" w:cs="Arial" w:eastAsia="Arial" w:hAnsi="Arial"/>
          <w:sz w:val="18"/>
          <w:szCs w:val="18"/>
          <w:color w:val="1D1D1D"/>
        </w:rPr>
        <w:t>ti</w:t>
      </w:r>
      <w:r>
        <w:rPr>
          <w:rFonts w:ascii="Arial" w:cs="Arial" w:eastAsia="Arial" w:hAnsi="Arial"/>
          <w:sz w:val="18"/>
          <w:szCs w:val="18"/>
          <w:color w:val="333333"/>
        </w:rPr>
        <w:t>o</w:t>
      </w:r>
      <w:r>
        <w:rPr>
          <w:rFonts w:ascii="Arial" w:cs="Arial" w:eastAsia="Arial" w:hAnsi="Arial"/>
          <w:sz w:val="18"/>
          <w:szCs w:val="18"/>
          <w:color w:val="0E0E0E"/>
        </w:rPr>
        <w:t>n</w:t>
      </w:r>
      <w:r>
        <w:rPr>
          <w:rFonts w:ascii="Arial" w:cs="Arial" w:eastAsia="Arial" w:hAnsi="Arial"/>
          <w:sz w:val="18"/>
          <w:szCs w:val="18"/>
          <w:color w:val="1D1D1D"/>
        </w:rPr>
        <w:t xml:space="preserve"> </w:t>
      </w:r>
      <w:r>
        <w:rPr>
          <w:rFonts w:ascii="Arial" w:cs="Arial" w:eastAsia="Arial" w:hAnsi="Arial"/>
          <w:sz w:val="18"/>
          <w:szCs w:val="18"/>
          <w:color w:val="333333"/>
        </w:rPr>
        <w:t>o</w:t>
      </w:r>
      <w:r>
        <w:rPr>
          <w:rFonts w:ascii="Arial" w:cs="Arial" w:eastAsia="Arial" w:hAnsi="Arial"/>
          <w:sz w:val="18"/>
          <w:szCs w:val="18"/>
          <w:color w:val="1D1D1D"/>
        </w:rPr>
        <w:t xml:space="preserve">f </w:t>
      </w:r>
      <w:r>
        <w:rPr>
          <w:rFonts w:ascii="Arial" w:cs="Arial" w:eastAsia="Arial" w:hAnsi="Arial"/>
          <w:sz w:val="18"/>
          <w:szCs w:val="18"/>
          <w:color w:val="0E0E0E"/>
        </w:rPr>
        <w:t>th</w:t>
      </w:r>
      <w:r>
        <w:rPr>
          <w:rFonts w:ascii="Arial" w:cs="Arial" w:eastAsia="Arial" w:hAnsi="Arial"/>
          <w:sz w:val="18"/>
          <w:szCs w:val="18"/>
          <w:color w:val="1D1D1D"/>
        </w:rPr>
        <w:t>e reso</w:t>
      </w:r>
      <w:r>
        <w:rPr>
          <w:rFonts w:ascii="Arial" w:cs="Arial" w:eastAsia="Arial" w:hAnsi="Arial"/>
          <w:sz w:val="18"/>
          <w:szCs w:val="18"/>
          <w:color w:val="0E0E0E"/>
        </w:rPr>
        <w:t>lu</w:t>
      </w:r>
      <w:r>
        <w:rPr>
          <w:rFonts w:ascii="Arial" w:cs="Arial" w:eastAsia="Arial" w:hAnsi="Arial"/>
          <w:sz w:val="18"/>
          <w:szCs w:val="18"/>
          <w:color w:val="1D1D1D"/>
        </w:rPr>
        <w:t>tio</w:t>
      </w:r>
      <w:r>
        <w:rPr>
          <w:rFonts w:ascii="Arial" w:cs="Arial" w:eastAsia="Arial" w:hAnsi="Arial"/>
          <w:sz w:val="18"/>
          <w:szCs w:val="18"/>
          <w:color w:val="0E0E0E"/>
        </w:rPr>
        <w:t>n</w:t>
      </w:r>
      <w:r>
        <w:rPr>
          <w:rFonts w:ascii="Arial" w:cs="Arial" w:eastAsia="Arial" w:hAnsi="Arial"/>
          <w:sz w:val="18"/>
          <w:szCs w:val="18"/>
          <w:color w:val="1D1D1D"/>
        </w:rPr>
        <w:t xml:space="preserve"> origina</w:t>
      </w:r>
      <w:r>
        <w:rPr>
          <w:rFonts w:ascii="Arial" w:cs="Arial" w:eastAsia="Arial" w:hAnsi="Arial"/>
          <w:sz w:val="18"/>
          <w:szCs w:val="18"/>
          <w:color w:val="0E0E0E"/>
        </w:rPr>
        <w:t>ll</w:t>
      </w:r>
      <w:r>
        <w:rPr>
          <w:rFonts w:ascii="Arial" w:cs="Arial" w:eastAsia="Arial" w:hAnsi="Arial"/>
          <w:sz w:val="18"/>
          <w:szCs w:val="18"/>
          <w:color w:val="1D1D1D"/>
        </w:rPr>
        <w:t>y fi</w:t>
      </w:r>
      <w:r>
        <w:rPr>
          <w:rFonts w:ascii="Arial" w:cs="Arial" w:eastAsia="Arial" w:hAnsi="Arial"/>
          <w:sz w:val="18"/>
          <w:szCs w:val="18"/>
          <w:color w:val="333333"/>
        </w:rPr>
        <w:t>x</w:t>
      </w:r>
      <w:r>
        <w:rPr>
          <w:rFonts w:ascii="Arial" w:cs="Arial" w:eastAsia="Arial" w:hAnsi="Arial"/>
          <w:sz w:val="18"/>
          <w:szCs w:val="18"/>
          <w:color w:val="0E0E0E"/>
        </w:rPr>
        <w:t>in</w:t>
      </w:r>
      <w:r>
        <w:rPr>
          <w:rFonts w:ascii="Arial" w:cs="Arial" w:eastAsia="Arial" w:hAnsi="Arial"/>
          <w:sz w:val="18"/>
          <w:szCs w:val="18"/>
          <w:color w:val="1D1D1D"/>
        </w:rPr>
        <w:t xml:space="preserve">g </w:t>
      </w:r>
      <w:r>
        <w:rPr>
          <w:rFonts w:ascii="Arial" w:cs="Arial" w:eastAsia="Arial" w:hAnsi="Arial"/>
          <w:sz w:val="18"/>
          <w:szCs w:val="18"/>
          <w:color w:val="0E0E0E"/>
        </w:rPr>
        <w:t>th</w:t>
      </w:r>
      <w:r>
        <w:rPr>
          <w:rFonts w:ascii="Arial" w:cs="Arial" w:eastAsia="Arial" w:hAnsi="Arial"/>
          <w:sz w:val="18"/>
          <w:szCs w:val="18"/>
          <w:color w:val="1D1D1D"/>
        </w:rPr>
        <w:t xml:space="preserve">e </w:t>
      </w:r>
      <w:r>
        <w:rPr>
          <w:rFonts w:ascii="Arial" w:cs="Arial" w:eastAsia="Arial" w:hAnsi="Arial"/>
          <w:sz w:val="18"/>
          <w:szCs w:val="18"/>
          <w:color w:val="0E0E0E"/>
        </w:rPr>
        <w:t>numb</w:t>
      </w:r>
      <w:r>
        <w:rPr>
          <w:rFonts w:ascii="Arial" w:cs="Arial" w:eastAsia="Arial" w:hAnsi="Arial"/>
          <w:sz w:val="18"/>
          <w:szCs w:val="18"/>
          <w:color w:val="1D1D1D"/>
        </w:rPr>
        <w:t>e</w:t>
      </w:r>
      <w:r>
        <w:rPr>
          <w:rFonts w:ascii="Arial" w:cs="Arial" w:eastAsia="Arial" w:hAnsi="Arial"/>
          <w:sz w:val="18"/>
          <w:szCs w:val="18"/>
          <w:color w:val="0E0E0E"/>
        </w:rPr>
        <w:t>r</w:t>
      </w:r>
      <w:r>
        <w:rPr>
          <w:rFonts w:ascii="Arial" w:cs="Arial" w:eastAsia="Arial" w:hAnsi="Arial"/>
          <w:sz w:val="18"/>
          <w:szCs w:val="18"/>
          <w:color w:val="1D1D1D"/>
        </w:rPr>
        <w:t xml:space="preserve"> of s</w:t>
      </w:r>
      <w:r>
        <w:rPr>
          <w:rFonts w:ascii="Arial" w:cs="Arial" w:eastAsia="Arial" w:hAnsi="Arial"/>
          <w:sz w:val="18"/>
          <w:szCs w:val="18"/>
          <w:color w:val="0E0E0E"/>
        </w:rPr>
        <w:t>h</w:t>
      </w:r>
      <w:r>
        <w:rPr>
          <w:rFonts w:ascii="Arial" w:cs="Arial" w:eastAsia="Arial" w:hAnsi="Arial"/>
          <w:sz w:val="18"/>
          <w:szCs w:val="18"/>
          <w:color w:val="1D1D1D"/>
        </w:rPr>
        <w:t>ares o</w:t>
      </w:r>
      <w:r>
        <w:rPr>
          <w:rFonts w:ascii="Arial" w:cs="Arial" w:eastAsia="Arial" w:hAnsi="Arial"/>
          <w:sz w:val="18"/>
          <w:szCs w:val="18"/>
          <w:color w:val="333333"/>
        </w:rPr>
        <w:t>f</w:t>
      </w:r>
      <w:r>
        <w:rPr>
          <w:rFonts w:ascii="Arial" w:cs="Arial" w:eastAsia="Arial" w:hAnsi="Arial"/>
          <w:sz w:val="18"/>
          <w:szCs w:val="18"/>
          <w:color w:val="1D1D1D"/>
        </w:rPr>
        <w:t xml:space="preserve"> s</w:t>
      </w:r>
      <w:r>
        <w:rPr>
          <w:rFonts w:ascii="Arial" w:cs="Arial" w:eastAsia="Arial" w:hAnsi="Arial"/>
          <w:sz w:val="18"/>
          <w:szCs w:val="18"/>
          <w:color w:val="0E0E0E"/>
        </w:rPr>
        <w:t>u</w:t>
      </w:r>
      <w:r>
        <w:rPr>
          <w:rFonts w:ascii="Arial" w:cs="Arial" w:eastAsia="Arial" w:hAnsi="Arial"/>
          <w:sz w:val="18"/>
          <w:szCs w:val="18"/>
          <w:color w:val="333333"/>
        </w:rPr>
        <w:t>c</w:t>
      </w:r>
      <w:r>
        <w:rPr>
          <w:rFonts w:ascii="Arial" w:cs="Arial" w:eastAsia="Arial" w:hAnsi="Arial"/>
          <w:sz w:val="18"/>
          <w:szCs w:val="18"/>
          <w:color w:val="1D1D1D"/>
        </w:rPr>
        <w:t>h se</w:t>
      </w:r>
      <w:r>
        <w:rPr>
          <w:rFonts w:ascii="Arial" w:cs="Arial" w:eastAsia="Arial" w:hAnsi="Arial"/>
          <w:sz w:val="18"/>
          <w:szCs w:val="18"/>
          <w:color w:val="0E0E0E"/>
        </w:rPr>
        <w:t>r</w:t>
      </w:r>
      <w:r>
        <w:rPr>
          <w:rFonts w:ascii="Arial" w:cs="Arial" w:eastAsia="Arial" w:hAnsi="Arial"/>
          <w:sz w:val="18"/>
          <w:szCs w:val="18"/>
          <w:color w:val="1D1D1D"/>
        </w:rPr>
        <w:t>ies</w:t>
      </w:r>
      <w:r>
        <w:rPr>
          <w:rFonts w:ascii="Arial" w:cs="Arial" w:eastAsia="Arial" w:hAnsi="Arial"/>
          <w:sz w:val="18"/>
          <w:szCs w:val="18"/>
          <w:color w:val="494949"/>
        </w:rPr>
        <w:t>.</w:t>
      </w:r>
      <w:r>
        <w:rPr>
          <w:rFonts w:ascii="Arial" w:cs="Arial" w:eastAsia="Arial" w:hAnsi="Arial"/>
          <w:sz w:val="18"/>
          <w:szCs w:val="18"/>
          <w:color w:val="333333"/>
        </w:rPr>
        <w:t>"</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1D1D1D"/>
        </w:rPr>
        <w:t>5</w:t>
      </w:r>
      <w:r>
        <w:rPr>
          <w:rFonts w:ascii="Arial" w:cs="Arial" w:eastAsia="Arial" w:hAnsi="Arial"/>
          <w:sz w:val="18"/>
          <w:szCs w:val="18"/>
          <w:i w:val="1"/>
          <w:iCs w:val="1"/>
          <w:color w:val="0E0E0E"/>
        </w:rPr>
        <w:t>.</w:t>
      </w:r>
      <w:r>
        <w:rPr>
          <w:rFonts w:ascii="Arial" w:cs="Arial" w:eastAsia="Arial" w:hAnsi="Arial"/>
          <w:sz w:val="18"/>
          <w:szCs w:val="18"/>
          <w:i w:val="1"/>
          <w:iCs w:val="1"/>
          <w:color w:val="1D1D1D"/>
        </w:rPr>
        <w:t xml:space="preserve"> </w:t>
      </w:r>
      <w:r>
        <w:rPr>
          <w:rFonts w:ascii="Arial" w:cs="Arial" w:eastAsia="Arial" w:hAnsi="Arial"/>
          <w:sz w:val="16"/>
          <w:szCs w:val="16"/>
          <w:color w:val="1D1D1D"/>
        </w:rPr>
        <w:t>T</w:t>
      </w:r>
      <w:r>
        <w:rPr>
          <w:rFonts w:ascii="Arial" w:cs="Arial" w:eastAsia="Arial" w:hAnsi="Arial"/>
          <w:sz w:val="16"/>
          <w:szCs w:val="16"/>
          <w:color w:val="0E0E0E"/>
        </w:rPr>
        <w:t>h</w:t>
      </w:r>
      <w:r>
        <w:rPr>
          <w:rFonts w:ascii="Arial" w:cs="Arial" w:eastAsia="Arial" w:hAnsi="Arial"/>
          <w:sz w:val="16"/>
          <w:szCs w:val="16"/>
          <w:color w:val="1D1D1D"/>
        </w:rPr>
        <w:t>e</w:t>
      </w:r>
      <w:r>
        <w:rPr>
          <w:rFonts w:ascii="Arial" w:cs="Arial" w:eastAsia="Arial" w:hAnsi="Arial"/>
          <w:sz w:val="16"/>
          <w:szCs w:val="16"/>
          <w:color w:val="0E0E0E"/>
        </w:rPr>
        <w:t>r</w:t>
      </w:r>
      <w:r>
        <w:rPr>
          <w:rFonts w:ascii="Arial" w:cs="Arial" w:eastAsia="Arial" w:hAnsi="Arial"/>
          <w:sz w:val="16"/>
          <w:szCs w:val="16"/>
          <w:color w:val="1D1D1D"/>
        </w:rPr>
        <w:t>eafter</w:t>
      </w:r>
      <w:r>
        <w:rPr>
          <w:rFonts w:ascii="Arial" w:cs="Arial" w:eastAsia="Arial" w:hAnsi="Arial"/>
          <w:sz w:val="16"/>
          <w:szCs w:val="16"/>
          <w:color w:val="333333"/>
        </w:rPr>
        <w:t>,</w:t>
      </w:r>
      <w:r>
        <w:rPr>
          <w:rFonts w:ascii="Arial" w:cs="Arial" w:eastAsia="Arial" w:hAnsi="Arial"/>
          <w:sz w:val="18"/>
          <w:szCs w:val="18"/>
          <w:i w:val="1"/>
          <w:iCs w:val="1"/>
          <w:color w:val="1D1D1D"/>
        </w:rPr>
        <w:t xml:space="preserve"> </w:t>
      </w:r>
      <w:r>
        <w:rPr>
          <w:rFonts w:ascii="Arial" w:cs="Arial" w:eastAsia="Arial" w:hAnsi="Arial"/>
          <w:sz w:val="16"/>
          <w:szCs w:val="16"/>
          <w:color w:val="0E0E0E"/>
        </w:rPr>
        <w:t>pu</w:t>
      </w:r>
      <w:r>
        <w:rPr>
          <w:rFonts w:ascii="Arial" w:cs="Arial" w:eastAsia="Arial" w:hAnsi="Arial"/>
          <w:sz w:val="16"/>
          <w:szCs w:val="16"/>
          <w:color w:val="1D1D1D"/>
        </w:rPr>
        <w:t>rsua</w:t>
      </w:r>
      <w:r>
        <w:rPr>
          <w:rFonts w:ascii="Arial" w:cs="Arial" w:eastAsia="Arial" w:hAnsi="Arial"/>
          <w:sz w:val="16"/>
          <w:szCs w:val="16"/>
          <w:color w:val="0E0E0E"/>
        </w:rPr>
        <w:t>n</w:t>
      </w:r>
      <w:r>
        <w:rPr>
          <w:rFonts w:ascii="Arial" w:cs="Arial" w:eastAsia="Arial" w:hAnsi="Arial"/>
          <w:sz w:val="16"/>
          <w:szCs w:val="16"/>
          <w:color w:val="1D1D1D"/>
        </w:rPr>
        <w:t>t to</w:t>
      </w:r>
      <w:r>
        <w:rPr>
          <w:rFonts w:ascii="Arial" w:cs="Arial" w:eastAsia="Arial" w:hAnsi="Arial"/>
          <w:sz w:val="18"/>
          <w:szCs w:val="18"/>
          <w:i w:val="1"/>
          <w:iCs w:val="1"/>
          <w:color w:val="1D1D1D"/>
        </w:rPr>
        <w:t xml:space="preserve"> </w:t>
      </w:r>
      <w:r>
        <w:rPr>
          <w:rFonts w:ascii="Arial" w:cs="Arial" w:eastAsia="Arial" w:hAnsi="Arial"/>
          <w:sz w:val="16"/>
          <w:szCs w:val="16"/>
          <w:color w:val="333333"/>
        </w:rPr>
        <w:t>a</w:t>
      </w:r>
      <w:r>
        <w:rPr>
          <w:rFonts w:ascii="Arial" w:cs="Arial" w:eastAsia="Arial" w:hAnsi="Arial"/>
          <w:sz w:val="18"/>
          <w:szCs w:val="18"/>
          <w:i w:val="1"/>
          <w:iCs w:val="1"/>
          <w:color w:val="1D1D1D"/>
        </w:rPr>
        <w:t xml:space="preserve"> </w:t>
      </w:r>
      <w:r>
        <w:rPr>
          <w:rFonts w:ascii="Arial" w:cs="Arial" w:eastAsia="Arial" w:hAnsi="Arial"/>
          <w:sz w:val="16"/>
          <w:szCs w:val="16"/>
          <w:color w:val="1D1D1D"/>
        </w:rPr>
        <w:t>res</w:t>
      </w:r>
      <w:r>
        <w:rPr>
          <w:rFonts w:ascii="Arial" w:cs="Arial" w:eastAsia="Arial" w:hAnsi="Arial"/>
          <w:sz w:val="16"/>
          <w:szCs w:val="16"/>
          <w:color w:val="0E0E0E"/>
        </w:rPr>
        <w:t>olut</w:t>
      </w:r>
      <w:r>
        <w:rPr>
          <w:rFonts w:ascii="Arial" w:cs="Arial" w:eastAsia="Arial" w:hAnsi="Arial"/>
          <w:sz w:val="16"/>
          <w:szCs w:val="16"/>
          <w:color w:val="1D1D1D"/>
        </w:rPr>
        <w:t>io</w:t>
      </w:r>
      <w:r>
        <w:rPr>
          <w:rFonts w:ascii="Arial" w:cs="Arial" w:eastAsia="Arial" w:hAnsi="Arial"/>
          <w:sz w:val="16"/>
          <w:szCs w:val="16"/>
          <w:color w:val="0E0E0E"/>
        </w:rPr>
        <w:t>n</w:t>
      </w:r>
      <w:r>
        <w:rPr>
          <w:rFonts w:ascii="Arial" w:cs="Arial" w:eastAsia="Arial" w:hAnsi="Arial"/>
          <w:sz w:val="18"/>
          <w:szCs w:val="18"/>
          <w:i w:val="1"/>
          <w:iCs w:val="1"/>
          <w:color w:val="1D1D1D"/>
        </w:rPr>
        <w:t xml:space="preserve"> </w:t>
      </w:r>
      <w:r>
        <w:rPr>
          <w:rFonts w:ascii="Arial" w:cs="Arial" w:eastAsia="Arial" w:hAnsi="Arial"/>
          <w:sz w:val="16"/>
          <w:szCs w:val="16"/>
          <w:color w:val="1D1D1D"/>
        </w:rPr>
        <w:t>of t</w:t>
      </w:r>
      <w:r>
        <w:rPr>
          <w:rFonts w:ascii="Arial" w:cs="Arial" w:eastAsia="Arial" w:hAnsi="Arial"/>
          <w:sz w:val="16"/>
          <w:szCs w:val="16"/>
          <w:color w:val="0E0E0E"/>
        </w:rPr>
        <w:t>h</w:t>
      </w:r>
      <w:r>
        <w:rPr>
          <w:rFonts w:ascii="Arial" w:cs="Arial" w:eastAsia="Arial" w:hAnsi="Arial"/>
          <w:sz w:val="16"/>
          <w:szCs w:val="16"/>
          <w:color w:val="1D1D1D"/>
        </w:rPr>
        <w:t>e</w:t>
      </w:r>
      <w:r>
        <w:rPr>
          <w:rFonts w:ascii="Arial" w:cs="Arial" w:eastAsia="Arial" w:hAnsi="Arial"/>
          <w:sz w:val="18"/>
          <w:szCs w:val="18"/>
          <w:i w:val="1"/>
          <w:iCs w:val="1"/>
          <w:color w:val="1D1D1D"/>
        </w:rPr>
        <w:t xml:space="preserve"> </w:t>
      </w:r>
      <w:r>
        <w:rPr>
          <w:rFonts w:ascii="Arial" w:cs="Arial" w:eastAsia="Arial" w:hAnsi="Arial"/>
          <w:sz w:val="16"/>
          <w:szCs w:val="16"/>
          <w:color w:val="0E0E0E"/>
        </w:rPr>
        <w:t>B</w:t>
      </w:r>
      <w:r>
        <w:rPr>
          <w:rFonts w:ascii="Arial" w:cs="Arial" w:eastAsia="Arial" w:hAnsi="Arial"/>
          <w:sz w:val="16"/>
          <w:szCs w:val="16"/>
          <w:color w:val="1D1D1D"/>
        </w:rPr>
        <w:t>oa</w:t>
      </w:r>
      <w:r>
        <w:rPr>
          <w:rFonts w:ascii="Arial" w:cs="Arial" w:eastAsia="Arial" w:hAnsi="Arial"/>
          <w:sz w:val="16"/>
          <w:szCs w:val="16"/>
          <w:color w:val="0E0E0E"/>
        </w:rPr>
        <w:t>rd</w:t>
      </w:r>
      <w:r>
        <w:rPr>
          <w:rFonts w:ascii="Arial" w:cs="Arial" w:eastAsia="Arial" w:hAnsi="Arial"/>
          <w:sz w:val="16"/>
          <w:szCs w:val="16"/>
          <w:color w:val="1D1D1D"/>
        </w:rPr>
        <w:t>, this</w:t>
      </w:r>
      <w:r>
        <w:rPr>
          <w:rFonts w:ascii="Arial" w:cs="Arial" w:eastAsia="Arial" w:hAnsi="Arial"/>
          <w:sz w:val="18"/>
          <w:szCs w:val="18"/>
          <w:i w:val="1"/>
          <w:iCs w:val="1"/>
          <w:color w:val="1D1D1D"/>
        </w:rPr>
        <w:t xml:space="preserve"> </w:t>
      </w:r>
      <w:r>
        <w:rPr>
          <w:rFonts w:ascii="Arial" w:cs="Arial" w:eastAsia="Arial" w:hAnsi="Arial"/>
          <w:sz w:val="16"/>
          <w:szCs w:val="16"/>
          <w:color w:val="333333"/>
        </w:rPr>
        <w:t>a</w:t>
      </w:r>
      <w:r>
        <w:rPr>
          <w:rFonts w:ascii="Arial" w:cs="Arial" w:eastAsia="Arial" w:hAnsi="Arial"/>
          <w:sz w:val="16"/>
          <w:szCs w:val="16"/>
          <w:color w:val="1D1D1D"/>
        </w:rPr>
        <w:t>mendment was sub</w:t>
      </w:r>
      <w:r>
        <w:rPr>
          <w:rFonts w:ascii="Arial" w:cs="Arial" w:eastAsia="Arial" w:hAnsi="Arial"/>
          <w:sz w:val="16"/>
          <w:szCs w:val="16"/>
          <w:color w:val="0E0E0E"/>
        </w:rPr>
        <w:t>m</w:t>
      </w:r>
      <w:r>
        <w:rPr>
          <w:rFonts w:ascii="Arial" w:cs="Arial" w:eastAsia="Arial" w:hAnsi="Arial"/>
          <w:sz w:val="16"/>
          <w:szCs w:val="16"/>
          <w:color w:val="1D1D1D"/>
        </w:rPr>
        <w:t>itt</w:t>
      </w:r>
      <w:r>
        <w:rPr>
          <w:rFonts w:ascii="Arial" w:cs="Arial" w:eastAsia="Arial" w:hAnsi="Arial"/>
          <w:sz w:val="16"/>
          <w:szCs w:val="16"/>
          <w:color w:val="333333"/>
        </w:rPr>
        <w:t>e</w:t>
      </w:r>
      <w:r>
        <w:rPr>
          <w:rFonts w:ascii="Arial" w:cs="Arial" w:eastAsia="Arial" w:hAnsi="Arial"/>
          <w:sz w:val="16"/>
          <w:szCs w:val="16"/>
          <w:color w:val="1D1D1D"/>
        </w:rPr>
        <w:t>d t</w:t>
      </w:r>
      <w:r>
        <w:rPr>
          <w:rFonts w:ascii="Arial" w:cs="Arial" w:eastAsia="Arial" w:hAnsi="Arial"/>
          <w:sz w:val="16"/>
          <w:szCs w:val="16"/>
          <w:color w:val="333333"/>
        </w:rPr>
        <w:t>o</w:t>
      </w:r>
      <w:r>
        <w:rPr>
          <w:rFonts w:ascii="Arial" w:cs="Arial" w:eastAsia="Arial" w:hAnsi="Arial"/>
          <w:sz w:val="18"/>
          <w:szCs w:val="18"/>
          <w:i w:val="1"/>
          <w:iCs w:val="1"/>
          <w:color w:val="1D1D1D"/>
        </w:rPr>
        <w:t xml:space="preserve"> </w:t>
      </w:r>
      <w:r>
        <w:rPr>
          <w:rFonts w:ascii="Arial" w:cs="Arial" w:eastAsia="Arial" w:hAnsi="Arial"/>
          <w:sz w:val="16"/>
          <w:szCs w:val="16"/>
          <w:color w:val="0E0E0E"/>
        </w:rPr>
        <w:t>th</w:t>
      </w:r>
      <w:r>
        <w:rPr>
          <w:rFonts w:ascii="Arial" w:cs="Arial" w:eastAsia="Arial" w:hAnsi="Arial"/>
          <w:sz w:val="16"/>
          <w:szCs w:val="16"/>
          <w:color w:val="1D1D1D"/>
        </w:rPr>
        <w:t>e s</w:t>
      </w:r>
      <w:r>
        <w:rPr>
          <w:rFonts w:ascii="Arial" w:cs="Arial" w:eastAsia="Arial" w:hAnsi="Arial"/>
          <w:sz w:val="16"/>
          <w:szCs w:val="16"/>
          <w:color w:val="0E0E0E"/>
        </w:rPr>
        <w:t>t</w:t>
      </w:r>
      <w:r>
        <w:rPr>
          <w:rFonts w:ascii="Arial" w:cs="Arial" w:eastAsia="Arial" w:hAnsi="Arial"/>
          <w:sz w:val="16"/>
          <w:szCs w:val="16"/>
          <w:color w:val="1D1D1D"/>
        </w:rPr>
        <w:t>ockho</w:t>
      </w:r>
      <w:r>
        <w:rPr>
          <w:rFonts w:ascii="Arial" w:cs="Arial" w:eastAsia="Arial" w:hAnsi="Arial"/>
          <w:sz w:val="16"/>
          <w:szCs w:val="16"/>
          <w:color w:val="0E0E0E"/>
        </w:rPr>
        <w:t>ld</w:t>
      </w:r>
      <w:r>
        <w:rPr>
          <w:rFonts w:ascii="Arial" w:cs="Arial" w:eastAsia="Arial" w:hAnsi="Arial"/>
          <w:sz w:val="16"/>
          <w:szCs w:val="16"/>
          <w:color w:val="1D1D1D"/>
        </w:rPr>
        <w:t>ers o</w:t>
      </w:r>
      <w:r>
        <w:rPr>
          <w:rFonts w:ascii="Arial" w:cs="Arial" w:eastAsia="Arial" w:hAnsi="Arial"/>
          <w:sz w:val="16"/>
          <w:szCs w:val="16"/>
          <w:color w:val="0E0E0E"/>
        </w:rPr>
        <w:t>f th</w:t>
      </w:r>
      <w:r>
        <w:rPr>
          <w:rFonts w:ascii="Arial" w:cs="Arial" w:eastAsia="Arial" w:hAnsi="Arial"/>
          <w:sz w:val="16"/>
          <w:szCs w:val="16"/>
          <w:color w:val="1D1D1D"/>
        </w:rPr>
        <w:t>e Corpora</w:t>
      </w:r>
      <w:r>
        <w:rPr>
          <w:rFonts w:ascii="Arial" w:cs="Arial" w:eastAsia="Arial" w:hAnsi="Arial"/>
          <w:sz w:val="16"/>
          <w:szCs w:val="16"/>
          <w:color w:val="0E0E0E"/>
        </w:rPr>
        <w:t>t</w:t>
      </w:r>
      <w:r>
        <w:rPr>
          <w:rFonts w:ascii="Arial" w:cs="Arial" w:eastAsia="Arial" w:hAnsi="Arial"/>
          <w:sz w:val="16"/>
          <w:szCs w:val="16"/>
          <w:color w:val="1D1D1D"/>
        </w:rPr>
        <w:t>ion fo</w:t>
      </w:r>
      <w:r>
        <w:rPr>
          <w:rFonts w:ascii="Arial" w:cs="Arial" w:eastAsia="Arial" w:hAnsi="Arial"/>
          <w:sz w:val="16"/>
          <w:szCs w:val="16"/>
          <w:color w:val="0E0E0E"/>
        </w:rPr>
        <w:t>r</w:t>
      </w:r>
      <w:r>
        <w:rPr>
          <w:rFonts w:ascii="Arial" w:cs="Arial" w:eastAsia="Arial" w:hAnsi="Arial"/>
          <w:sz w:val="18"/>
          <w:szCs w:val="18"/>
          <w:i w:val="1"/>
          <w:iCs w:val="1"/>
          <w:color w:val="1D1D1D"/>
        </w:rPr>
        <w:t xml:space="preserve"> </w:t>
      </w:r>
      <w:r>
        <w:rPr>
          <w:rFonts w:ascii="Arial" w:cs="Arial" w:eastAsia="Arial" w:hAnsi="Arial"/>
          <w:sz w:val="16"/>
          <w:szCs w:val="16"/>
          <w:color w:val="1D1D1D"/>
        </w:rPr>
        <w:t>t</w:t>
      </w:r>
      <w:r>
        <w:rPr>
          <w:rFonts w:ascii="Arial" w:cs="Arial" w:eastAsia="Arial" w:hAnsi="Arial"/>
          <w:sz w:val="16"/>
          <w:szCs w:val="16"/>
          <w:color w:val="0E0E0E"/>
        </w:rPr>
        <w:t>h</w:t>
      </w:r>
      <w:r>
        <w:rPr>
          <w:rFonts w:ascii="Arial" w:cs="Arial" w:eastAsia="Arial" w:hAnsi="Arial"/>
          <w:sz w:val="16"/>
          <w:szCs w:val="16"/>
          <w:color w:val="1D1D1D"/>
        </w:rPr>
        <w:t>eir</w:t>
      </w:r>
    </w:p>
    <w:p>
      <w:pPr>
        <w:spacing w:after="0" w:line="66" w:lineRule="exact"/>
        <w:rPr>
          <w:sz w:val="20"/>
          <w:szCs w:val="20"/>
          <w:color w:val="auto"/>
        </w:rPr>
      </w:pPr>
    </w:p>
    <w:p>
      <w:pPr>
        <w:ind w:left="820"/>
        <w:spacing w:after="0"/>
        <w:rPr>
          <w:sz w:val="20"/>
          <w:szCs w:val="20"/>
          <w:color w:val="auto"/>
        </w:rPr>
      </w:pPr>
      <w:r>
        <w:rPr>
          <w:rFonts w:ascii="Arial" w:cs="Arial" w:eastAsia="Arial" w:hAnsi="Arial"/>
          <w:sz w:val="16"/>
          <w:szCs w:val="16"/>
          <w:color w:val="1D1D1D"/>
        </w:rPr>
        <w:t>a</w:t>
      </w:r>
      <w:r>
        <w:rPr>
          <w:rFonts w:ascii="Arial" w:cs="Arial" w:eastAsia="Arial" w:hAnsi="Arial"/>
          <w:sz w:val="16"/>
          <w:szCs w:val="16"/>
          <w:color w:val="0E0E0E"/>
        </w:rPr>
        <w:t>pp</w:t>
      </w:r>
      <w:r>
        <w:rPr>
          <w:rFonts w:ascii="Arial" w:cs="Arial" w:eastAsia="Arial" w:hAnsi="Arial"/>
          <w:sz w:val="16"/>
          <w:szCs w:val="16"/>
          <w:color w:val="1D1D1D"/>
        </w:rPr>
        <w:t>rova</w:t>
      </w:r>
      <w:r>
        <w:rPr>
          <w:rFonts w:ascii="Arial" w:cs="Arial" w:eastAsia="Arial" w:hAnsi="Arial"/>
          <w:sz w:val="16"/>
          <w:szCs w:val="16"/>
          <w:color w:val="0E0E0E"/>
        </w:rPr>
        <w:t>l</w:t>
      </w:r>
      <w:r>
        <w:rPr>
          <w:rFonts w:ascii="Arial" w:cs="Arial" w:eastAsia="Arial" w:hAnsi="Arial"/>
          <w:sz w:val="16"/>
          <w:szCs w:val="16"/>
          <w:color w:val="1D1D1D"/>
        </w:rPr>
        <w:t>, a</w:t>
      </w:r>
      <w:r>
        <w:rPr>
          <w:rFonts w:ascii="Arial" w:cs="Arial" w:eastAsia="Arial" w:hAnsi="Arial"/>
          <w:sz w:val="16"/>
          <w:szCs w:val="16"/>
          <w:color w:val="0E0E0E"/>
        </w:rPr>
        <w:t>nd</w:t>
      </w:r>
      <w:r>
        <w:rPr>
          <w:rFonts w:ascii="Arial" w:cs="Arial" w:eastAsia="Arial" w:hAnsi="Arial"/>
          <w:sz w:val="16"/>
          <w:szCs w:val="16"/>
          <w:color w:val="1D1D1D"/>
        </w:rPr>
        <w:t xml:space="preserve"> was d</w:t>
      </w:r>
      <w:r>
        <w:rPr>
          <w:rFonts w:ascii="Arial" w:cs="Arial" w:eastAsia="Arial" w:hAnsi="Arial"/>
          <w:sz w:val="16"/>
          <w:szCs w:val="16"/>
          <w:color w:val="0E0E0E"/>
        </w:rPr>
        <w:t>u</w:t>
      </w:r>
      <w:r>
        <w:rPr>
          <w:rFonts w:ascii="Arial" w:cs="Arial" w:eastAsia="Arial" w:hAnsi="Arial"/>
          <w:sz w:val="16"/>
          <w:szCs w:val="16"/>
          <w:color w:val="1D1D1D"/>
        </w:rPr>
        <w:t>ly a</w:t>
      </w:r>
      <w:r>
        <w:rPr>
          <w:rFonts w:ascii="Arial" w:cs="Arial" w:eastAsia="Arial" w:hAnsi="Arial"/>
          <w:sz w:val="16"/>
          <w:szCs w:val="16"/>
          <w:color w:val="0E0E0E"/>
        </w:rPr>
        <w:t>d</w:t>
      </w:r>
      <w:r>
        <w:rPr>
          <w:rFonts w:ascii="Arial" w:cs="Arial" w:eastAsia="Arial" w:hAnsi="Arial"/>
          <w:sz w:val="16"/>
          <w:szCs w:val="16"/>
          <w:color w:val="1D1D1D"/>
        </w:rPr>
        <w:t>opted i</w:t>
      </w:r>
      <w:r>
        <w:rPr>
          <w:rFonts w:ascii="Arial" w:cs="Arial" w:eastAsia="Arial" w:hAnsi="Arial"/>
          <w:sz w:val="16"/>
          <w:szCs w:val="16"/>
          <w:color w:val="0E0E0E"/>
        </w:rPr>
        <w:t>n</w:t>
      </w:r>
      <w:r>
        <w:rPr>
          <w:rFonts w:ascii="Arial" w:cs="Arial" w:eastAsia="Arial" w:hAnsi="Arial"/>
          <w:sz w:val="16"/>
          <w:szCs w:val="16"/>
          <w:color w:val="1D1D1D"/>
        </w:rPr>
        <w:t xml:space="preserve"> ac</w:t>
      </w:r>
      <w:r>
        <w:rPr>
          <w:rFonts w:ascii="Arial" w:cs="Arial" w:eastAsia="Arial" w:hAnsi="Arial"/>
          <w:sz w:val="16"/>
          <w:szCs w:val="16"/>
          <w:color w:val="0E0E0E"/>
        </w:rPr>
        <w:t>c</w:t>
      </w:r>
      <w:r>
        <w:rPr>
          <w:rFonts w:ascii="Arial" w:cs="Arial" w:eastAsia="Arial" w:hAnsi="Arial"/>
          <w:sz w:val="16"/>
          <w:szCs w:val="16"/>
          <w:color w:val="1D1D1D"/>
        </w:rPr>
        <w:t>or</w:t>
      </w:r>
      <w:r>
        <w:rPr>
          <w:rFonts w:ascii="Arial" w:cs="Arial" w:eastAsia="Arial" w:hAnsi="Arial"/>
          <w:sz w:val="16"/>
          <w:szCs w:val="16"/>
          <w:color w:val="0E0E0E"/>
        </w:rPr>
        <w:t>dan</w:t>
      </w:r>
      <w:r>
        <w:rPr>
          <w:rFonts w:ascii="Arial" w:cs="Arial" w:eastAsia="Arial" w:hAnsi="Arial"/>
          <w:sz w:val="16"/>
          <w:szCs w:val="16"/>
          <w:color w:val="1D1D1D"/>
        </w:rPr>
        <w:t xml:space="preserve">ce </w:t>
      </w:r>
      <w:r>
        <w:rPr>
          <w:rFonts w:ascii="Arial" w:cs="Arial" w:eastAsia="Arial" w:hAnsi="Arial"/>
          <w:sz w:val="16"/>
          <w:szCs w:val="16"/>
          <w:color w:val="0E0E0E"/>
        </w:rPr>
        <w:t>w</w:t>
      </w:r>
      <w:r>
        <w:rPr>
          <w:rFonts w:ascii="Arial" w:cs="Arial" w:eastAsia="Arial" w:hAnsi="Arial"/>
          <w:sz w:val="16"/>
          <w:szCs w:val="16"/>
          <w:color w:val="1D1D1D"/>
        </w:rPr>
        <w:t>i</w:t>
      </w:r>
      <w:r>
        <w:rPr>
          <w:rFonts w:ascii="Arial" w:cs="Arial" w:eastAsia="Arial" w:hAnsi="Arial"/>
          <w:sz w:val="16"/>
          <w:szCs w:val="16"/>
          <w:color w:val="0E0E0E"/>
        </w:rPr>
        <w:t>th th</w:t>
      </w:r>
      <w:r>
        <w:rPr>
          <w:rFonts w:ascii="Arial" w:cs="Arial" w:eastAsia="Arial" w:hAnsi="Arial"/>
          <w:sz w:val="16"/>
          <w:szCs w:val="16"/>
          <w:color w:val="1D1D1D"/>
        </w:rPr>
        <w:t xml:space="preserve">e </w:t>
      </w:r>
      <w:r>
        <w:rPr>
          <w:rFonts w:ascii="Arial" w:cs="Arial" w:eastAsia="Arial" w:hAnsi="Arial"/>
          <w:sz w:val="16"/>
          <w:szCs w:val="16"/>
          <w:color w:val="0E0E0E"/>
        </w:rPr>
        <w:t>p</w:t>
      </w:r>
      <w:r>
        <w:rPr>
          <w:rFonts w:ascii="Arial" w:cs="Arial" w:eastAsia="Arial" w:hAnsi="Arial"/>
          <w:sz w:val="16"/>
          <w:szCs w:val="16"/>
          <w:color w:val="1D1D1D"/>
        </w:rPr>
        <w:t>rovisio</w:t>
      </w:r>
      <w:r>
        <w:rPr>
          <w:rFonts w:ascii="Arial" w:cs="Arial" w:eastAsia="Arial" w:hAnsi="Arial"/>
          <w:sz w:val="16"/>
          <w:szCs w:val="16"/>
          <w:color w:val="0E0E0E"/>
        </w:rPr>
        <w:t>ns</w:t>
      </w:r>
      <w:r>
        <w:rPr>
          <w:rFonts w:ascii="Arial" w:cs="Arial" w:eastAsia="Arial" w:hAnsi="Arial"/>
          <w:sz w:val="16"/>
          <w:szCs w:val="16"/>
          <w:color w:val="1D1D1D"/>
        </w:rPr>
        <w:t xml:space="preserve"> of Sectio</w:t>
      </w:r>
      <w:r>
        <w:rPr>
          <w:rFonts w:ascii="Arial" w:cs="Arial" w:eastAsia="Arial" w:hAnsi="Arial"/>
          <w:sz w:val="16"/>
          <w:szCs w:val="16"/>
          <w:color w:val="0E0E0E"/>
        </w:rPr>
        <w:t>n</w:t>
      </w:r>
      <w:r>
        <w:rPr>
          <w:rFonts w:ascii="Arial" w:cs="Arial" w:eastAsia="Arial" w:hAnsi="Arial"/>
          <w:sz w:val="16"/>
          <w:szCs w:val="16"/>
          <w:color w:val="1D1D1D"/>
        </w:rPr>
        <w:t>s 222 a</w:t>
      </w:r>
      <w:r>
        <w:rPr>
          <w:rFonts w:ascii="Arial" w:cs="Arial" w:eastAsia="Arial" w:hAnsi="Arial"/>
          <w:sz w:val="16"/>
          <w:szCs w:val="16"/>
          <w:color w:val="0E0E0E"/>
        </w:rPr>
        <w:t>nd</w:t>
      </w:r>
      <w:r>
        <w:rPr>
          <w:rFonts w:ascii="Arial" w:cs="Arial" w:eastAsia="Arial" w:hAnsi="Arial"/>
          <w:sz w:val="16"/>
          <w:szCs w:val="16"/>
          <w:color w:val="1D1D1D"/>
        </w:rPr>
        <w:t xml:space="preserve"> 2</w:t>
      </w:r>
      <w:r>
        <w:rPr>
          <w:rFonts w:ascii="Arial" w:cs="Arial" w:eastAsia="Arial" w:hAnsi="Arial"/>
          <w:sz w:val="16"/>
          <w:szCs w:val="16"/>
          <w:color w:val="0E0E0E"/>
        </w:rPr>
        <w:t>4</w:t>
      </w:r>
      <w:r>
        <w:rPr>
          <w:rFonts w:ascii="Arial" w:cs="Arial" w:eastAsia="Arial" w:hAnsi="Arial"/>
          <w:sz w:val="16"/>
          <w:szCs w:val="16"/>
          <w:color w:val="1D1D1D"/>
        </w:rPr>
        <w:t xml:space="preserve">2 of </w:t>
      </w:r>
      <w:r>
        <w:rPr>
          <w:rFonts w:ascii="Arial" w:cs="Arial" w:eastAsia="Arial" w:hAnsi="Arial"/>
          <w:sz w:val="16"/>
          <w:szCs w:val="16"/>
          <w:color w:val="0E0E0E"/>
        </w:rPr>
        <w:t>th</w:t>
      </w:r>
      <w:r>
        <w:rPr>
          <w:rFonts w:ascii="Arial" w:cs="Arial" w:eastAsia="Arial" w:hAnsi="Arial"/>
          <w:sz w:val="16"/>
          <w:szCs w:val="16"/>
          <w:color w:val="1D1D1D"/>
        </w:rPr>
        <w:t>e Genera</w:t>
      </w:r>
      <w:r>
        <w:rPr>
          <w:rFonts w:ascii="Arial" w:cs="Arial" w:eastAsia="Arial" w:hAnsi="Arial"/>
          <w:sz w:val="16"/>
          <w:szCs w:val="16"/>
          <w:color w:val="0E0E0E"/>
        </w:rPr>
        <w:t>l</w:t>
      </w:r>
      <w:r>
        <w:rPr>
          <w:rFonts w:ascii="Arial" w:cs="Arial" w:eastAsia="Arial" w:hAnsi="Arial"/>
          <w:sz w:val="16"/>
          <w:szCs w:val="16"/>
          <w:color w:val="1D1D1D"/>
        </w:rPr>
        <w:t xml:space="preserve"> Co</w:t>
      </w:r>
      <w:r>
        <w:rPr>
          <w:rFonts w:ascii="Arial" w:cs="Arial" w:eastAsia="Arial" w:hAnsi="Arial"/>
          <w:sz w:val="16"/>
          <w:szCs w:val="16"/>
          <w:color w:val="0E0E0E"/>
        </w:rPr>
        <w:t>rp</w:t>
      </w:r>
      <w:r>
        <w:rPr>
          <w:rFonts w:ascii="Arial" w:cs="Arial" w:eastAsia="Arial" w:hAnsi="Arial"/>
          <w:sz w:val="16"/>
          <w:szCs w:val="16"/>
          <w:color w:val="1D1D1D"/>
        </w:rPr>
        <w:t>orat</w:t>
      </w:r>
      <w:r>
        <w:rPr>
          <w:rFonts w:ascii="Arial" w:cs="Arial" w:eastAsia="Arial" w:hAnsi="Arial"/>
          <w:sz w:val="16"/>
          <w:szCs w:val="16"/>
          <w:color w:val="0E0E0E"/>
        </w:rPr>
        <w:t>i</w:t>
      </w:r>
      <w:r>
        <w:rPr>
          <w:rFonts w:ascii="Arial" w:cs="Arial" w:eastAsia="Arial" w:hAnsi="Arial"/>
          <w:sz w:val="16"/>
          <w:szCs w:val="16"/>
          <w:color w:val="1D1D1D"/>
        </w:rPr>
        <w:t>o</w:t>
      </w:r>
      <w:r>
        <w:rPr>
          <w:rFonts w:ascii="Arial" w:cs="Arial" w:eastAsia="Arial" w:hAnsi="Arial"/>
          <w:sz w:val="16"/>
          <w:szCs w:val="16"/>
          <w:color w:val="0E0E0E"/>
        </w:rPr>
        <w:t>n</w:t>
      </w:r>
      <w:r>
        <w:rPr>
          <w:rFonts w:ascii="Arial" w:cs="Arial" w:eastAsia="Arial" w:hAnsi="Arial"/>
          <w:sz w:val="16"/>
          <w:szCs w:val="16"/>
          <w:color w:val="1D1D1D"/>
        </w:rPr>
        <w:t xml:space="preserve"> Law of t</w:t>
      </w:r>
      <w:r>
        <w:rPr>
          <w:rFonts w:ascii="Arial" w:cs="Arial" w:eastAsia="Arial" w:hAnsi="Arial"/>
          <w:sz w:val="16"/>
          <w:szCs w:val="16"/>
          <w:color w:val="0E0E0E"/>
        </w:rPr>
        <w:t>h</w:t>
      </w:r>
      <w:r>
        <w:rPr>
          <w:rFonts w:ascii="Arial" w:cs="Arial" w:eastAsia="Arial" w:hAnsi="Arial"/>
          <w:sz w:val="16"/>
          <w:szCs w:val="16"/>
          <w:color w:val="1D1D1D"/>
        </w:rPr>
        <w:t>e</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8"/>
          <w:szCs w:val="18"/>
          <w:color w:val="0E0E0E"/>
        </w:rPr>
        <w:t>S</w:t>
      </w:r>
      <w:r>
        <w:rPr>
          <w:rFonts w:ascii="Arial" w:cs="Arial" w:eastAsia="Arial" w:hAnsi="Arial"/>
          <w:sz w:val="18"/>
          <w:szCs w:val="18"/>
          <w:color w:val="1D1D1D"/>
        </w:rPr>
        <w:t>tate of</w:t>
      </w:r>
      <w:r>
        <w:rPr>
          <w:rFonts w:ascii="Arial" w:cs="Arial" w:eastAsia="Arial" w:hAnsi="Arial"/>
          <w:sz w:val="18"/>
          <w:szCs w:val="18"/>
          <w:color w:val="0E0E0E"/>
        </w:rPr>
        <w:t xml:space="preserve"> D</w:t>
      </w:r>
      <w:r>
        <w:rPr>
          <w:rFonts w:ascii="Arial" w:cs="Arial" w:eastAsia="Arial" w:hAnsi="Arial"/>
          <w:sz w:val="18"/>
          <w:szCs w:val="18"/>
          <w:color w:val="1D1D1D"/>
        </w:rPr>
        <w:t>ela</w:t>
      </w:r>
      <w:r>
        <w:rPr>
          <w:rFonts w:ascii="Arial" w:cs="Arial" w:eastAsia="Arial" w:hAnsi="Arial"/>
          <w:sz w:val="18"/>
          <w:szCs w:val="18"/>
          <w:color w:val="0E0E0E"/>
        </w:rPr>
        <w:t>w</w:t>
      </w:r>
      <w:r>
        <w:rPr>
          <w:rFonts w:ascii="Arial" w:cs="Arial" w:eastAsia="Arial" w:hAnsi="Arial"/>
          <w:sz w:val="18"/>
          <w:szCs w:val="18"/>
          <w:color w:val="1D1D1D"/>
        </w:rPr>
        <w:t>a</w:t>
      </w:r>
      <w:r>
        <w:rPr>
          <w:rFonts w:ascii="Arial" w:cs="Arial" w:eastAsia="Arial" w:hAnsi="Arial"/>
          <w:sz w:val="18"/>
          <w:szCs w:val="18"/>
          <w:color w:val="0E0E0E"/>
        </w:rPr>
        <w:t>r</w:t>
      </w:r>
      <w:r>
        <w:rPr>
          <w:rFonts w:ascii="Arial" w:cs="Arial" w:eastAsia="Arial" w:hAnsi="Arial"/>
          <w:sz w:val="18"/>
          <w:szCs w:val="18"/>
          <w:color w:val="1D1D1D"/>
        </w:rPr>
        <w:t>e</w:t>
      </w:r>
      <w:r>
        <w:rPr>
          <w:rFonts w:ascii="Arial" w:cs="Arial" w:eastAsia="Arial" w:hAnsi="Arial"/>
          <w:sz w:val="18"/>
          <w:szCs w:val="18"/>
          <w:color w:val="0E0E0E"/>
        </w:rPr>
        <w:t>.</w:t>
      </w:r>
    </w:p>
    <w:p>
      <w:pPr>
        <w:sectPr>
          <w:pgSz w:w="11900" w:h="16838" w:orient="portrait"/>
          <w:cols w:equalWidth="0" w:num="1">
            <w:col w:w="10220"/>
          </w:cols>
          <w:pgMar w:left="1440" w:top="621"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2460" w:firstLine="3003"/>
        <w:spacing w:after="0" w:line="297" w:lineRule="auto"/>
        <w:rPr>
          <w:sz w:val="20"/>
          <w:szCs w:val="20"/>
          <w:color w:val="auto"/>
        </w:rPr>
      </w:pPr>
      <w:r>
        <w:rPr>
          <w:rFonts w:ascii="Arial" w:cs="Arial" w:eastAsia="Arial" w:hAnsi="Arial"/>
          <w:sz w:val="18"/>
          <w:szCs w:val="18"/>
          <w:color w:val="auto"/>
        </w:rPr>
        <w:t xml:space="preserve">IN WITNESS WHEREOF, Novatel Wireless, Inc. has caused this Certificate of Amendment to be signed by its duly authorized officer this </w:t>
      </w:r>
      <w:r>
        <w:rPr>
          <w:rFonts w:ascii="Arial" w:cs="Arial" w:eastAsia="Arial" w:hAnsi="Arial"/>
          <w:sz w:val="14"/>
          <w:szCs w:val="14"/>
          <w:color w:val="auto"/>
        </w:rPr>
        <w:t>17th</w:t>
      </w:r>
      <w:r>
        <w:rPr>
          <w:rFonts w:ascii="Arial" w:cs="Arial" w:eastAsia="Arial" w:hAnsi="Arial"/>
          <w:sz w:val="18"/>
          <w:szCs w:val="18"/>
          <w:color w:val="auto"/>
        </w:rPr>
        <w:t xml:space="preserve"> </w:t>
      </w:r>
      <w:r>
        <w:rPr>
          <w:rFonts w:ascii="Arial" w:cs="Arial" w:eastAsia="Arial" w:hAnsi="Arial"/>
          <w:sz w:val="19"/>
          <w:szCs w:val="19"/>
          <w:color w:val="auto"/>
        </w:rPr>
        <w:t>day of November 2014</w:t>
      </w:r>
      <w:r>
        <w:rPr>
          <w:rFonts w:ascii="Arial" w:cs="Arial" w:eastAsia="Arial" w:hAnsi="Arial"/>
          <w:sz w:val="19"/>
          <w:szCs w:val="19"/>
          <w:color w:val="41414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4907915</wp:posOffset>
            </wp:positionH>
            <wp:positionV relativeFrom="paragraph">
              <wp:posOffset>-15875</wp:posOffset>
            </wp:positionV>
            <wp:extent cx="2204085" cy="943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04085" cy="943610"/>
                    </a:xfrm>
                    <a:prstGeom prst="rect">
                      <a:avLst/>
                    </a:prstGeom>
                    <a:noFill/>
                  </pic:spPr>
                </pic:pic>
              </a:graphicData>
            </a:graphic>
          </wp:anchor>
        </w:drawing>
      </w:r>
    </w:p>
    <w:p>
      <w:pPr>
        <w:sectPr>
          <w:pgSz w:w="11900" w:h="16838" w:orient="portrait"/>
          <w:cols w:equalWidth="0" w:num="1">
            <w:col w:w="11200"/>
          </w:cols>
          <w:pgMar w:left="460" w:top="621"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Novatel Wireless,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Retention Bonus Plan</w:t>
      </w:r>
    </w:p>
    <w:p>
      <w:pPr>
        <w:spacing w:after="0" w:line="222" w:lineRule="exact"/>
        <w:rPr>
          <w:sz w:val="20"/>
          <w:szCs w:val="20"/>
          <w:color w:val="auto"/>
        </w:rPr>
      </w:pPr>
    </w:p>
    <w:p>
      <w:pPr>
        <w:ind w:right="40"/>
        <w:spacing w:after="0" w:line="292" w:lineRule="auto"/>
        <w:rPr>
          <w:sz w:val="20"/>
          <w:szCs w:val="20"/>
          <w:color w:val="auto"/>
        </w:rPr>
      </w:pPr>
      <w:r>
        <w:rPr>
          <w:rFonts w:ascii="Arial" w:cs="Arial" w:eastAsia="Arial" w:hAnsi="Arial"/>
          <w:sz w:val="20"/>
          <w:szCs w:val="20"/>
          <w:color w:val="auto"/>
        </w:rPr>
        <w:t>Our Board of Directors has adopted a bonus plan to recognize the continuing efforts of all our employees in driving the future success of the company. The purpose of this plan is to reward employees for their hard work and dedication to the company at a crucial time for achieving our long-term vision.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ELIGIBLE?</w:t>
      </w:r>
    </w:p>
    <w:p>
      <w:pPr>
        <w:spacing w:after="0" w:line="46" w:lineRule="exact"/>
        <w:rPr>
          <w:sz w:val="20"/>
          <w:szCs w:val="20"/>
          <w:color w:val="auto"/>
        </w:rPr>
      </w:pPr>
    </w:p>
    <w:p>
      <w:pPr>
        <w:ind w:right="240"/>
        <w:spacing w:after="0" w:line="314" w:lineRule="auto"/>
        <w:rPr>
          <w:sz w:val="20"/>
          <w:szCs w:val="20"/>
          <w:color w:val="auto"/>
        </w:rPr>
      </w:pPr>
      <w:r>
        <w:rPr>
          <w:rFonts w:ascii="Arial" w:cs="Arial" w:eastAsia="Arial" w:hAnsi="Arial"/>
          <w:sz w:val="19"/>
          <w:szCs w:val="19"/>
          <w:color w:val="auto"/>
        </w:rPr>
        <w:t>Everyone! The only requirements for participation in this plan are that you must be a full-time employee for at least 4 months of the bonus measurement period (defined below), and you must still be a full-time employee on the date that the company determines achievement of the bonus. All full-time employees will participate in this plan, regardless of their geographic location.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MUCH IS IT?</w:t>
      </w:r>
    </w:p>
    <w:p>
      <w:pPr>
        <w:spacing w:after="0" w:line="46" w:lineRule="exact"/>
        <w:rPr>
          <w:sz w:val="20"/>
          <w:szCs w:val="20"/>
          <w:color w:val="auto"/>
        </w:rPr>
      </w:pPr>
    </w:p>
    <w:p>
      <w:pPr>
        <w:spacing w:after="0" w:line="325" w:lineRule="auto"/>
        <w:rPr>
          <w:sz w:val="20"/>
          <w:szCs w:val="20"/>
          <w:color w:val="auto"/>
        </w:rPr>
      </w:pPr>
      <w:r>
        <w:rPr>
          <w:rFonts w:ascii="Arial" w:cs="Arial" w:eastAsia="Arial" w:hAnsi="Arial"/>
          <w:sz w:val="18"/>
          <w:szCs w:val="18"/>
          <w:color w:val="auto"/>
        </w:rPr>
        <w:t>Each employee’s target bonus will be equal to 50% of the employee’s annualized base compensation for the bonus measurement period (the “Target Bonus”). The payouts will be made in cash or Novatel Wireless stock, with the company having the ability to pay up to 70% of the final achieved bonus in Novatel Wireless stock. For those employees not employed during the entire bonus measurement period, payments will be pro-rated based on the time they have been employed during the bonus measurement period. Commissioned employees will be eligible for a modified payout under this plan, receiving a true-up amount between their earned commission for the period and their Target Bonus.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WILL IT BE PAID?</w:t>
      </w:r>
    </w:p>
    <w:p>
      <w:pPr>
        <w:spacing w:after="0" w:line="46" w:lineRule="exact"/>
        <w:rPr>
          <w:sz w:val="20"/>
          <w:szCs w:val="20"/>
          <w:color w:val="auto"/>
        </w:rPr>
      </w:pPr>
    </w:p>
    <w:p>
      <w:pPr>
        <w:ind w:right="660"/>
        <w:spacing w:after="0" w:line="303" w:lineRule="auto"/>
        <w:rPr>
          <w:sz w:val="20"/>
          <w:szCs w:val="20"/>
          <w:color w:val="auto"/>
        </w:rPr>
      </w:pPr>
      <w:r>
        <w:rPr>
          <w:rFonts w:ascii="Arial" w:cs="Arial" w:eastAsia="Arial" w:hAnsi="Arial"/>
          <w:sz w:val="20"/>
          <w:szCs w:val="20"/>
          <w:color w:val="auto"/>
        </w:rPr>
        <w:t>Achievement of the bonus will be determined on the day of the company’s public earnings release for the second consecutive quarter of achievement. Earned bonuses will be paid no later than 90 days following this date.</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IS THE BONUS EARNED?</w:t>
      </w:r>
    </w:p>
    <w:p>
      <w:pPr>
        <w:spacing w:after="0" w:line="46" w:lineRule="exact"/>
        <w:rPr>
          <w:sz w:val="20"/>
          <w:szCs w:val="20"/>
          <w:color w:val="auto"/>
        </w:rPr>
      </w:pPr>
    </w:p>
    <w:p>
      <w:pPr>
        <w:ind w:right="60"/>
        <w:spacing w:after="0" w:line="286" w:lineRule="auto"/>
        <w:rPr>
          <w:sz w:val="20"/>
          <w:szCs w:val="20"/>
          <w:color w:val="auto"/>
        </w:rPr>
      </w:pPr>
      <w:r>
        <w:rPr>
          <w:rFonts w:ascii="Arial" w:cs="Arial" w:eastAsia="Arial" w:hAnsi="Arial"/>
          <w:sz w:val="20"/>
          <w:szCs w:val="20"/>
          <w:color w:val="auto"/>
        </w:rPr>
        <w:t>The bonus will be earned if the company achieves both “positive free cash flow” and “increased cash” in two consecutive quarters (the “bonus measurement period”) starting with the third quarter of 2014 and continuing through the first quarter of 2015. This means that the company must achieve these financial targets in either (a) the third and fourth quarters of 2014, or (b) the fourth quarter of 2014 and the first quarter of 2015. “Positive free cash flow” and “increased cash” for purposes of this plan will be determined and measured based on the company’s quarterly financial statements at the time of each quarter’s public earnings release, calculated in accordance with generally accepted accounting principles, and defined as follows:</w:t>
      </w:r>
    </w:p>
    <w:p>
      <w:pPr>
        <w:spacing w:after="0" w:line="15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“Positive free cash flow” is defined as Adjusted EBITDA as presented in the company’s</w:t>
      </w:r>
    </w:p>
    <w:p>
      <w:pPr>
        <w:spacing w:after="0" w:line="63" w:lineRule="exact"/>
        <w:rPr>
          <w:sz w:val="20"/>
          <w:szCs w:val="20"/>
          <w:color w:val="auto"/>
        </w:rPr>
      </w:pPr>
    </w:p>
    <w:p>
      <w:pPr>
        <w:ind w:right="480"/>
        <w:spacing w:after="0" w:line="303" w:lineRule="auto"/>
        <w:rPr>
          <w:sz w:val="20"/>
          <w:szCs w:val="20"/>
          <w:color w:val="auto"/>
        </w:rPr>
      </w:pPr>
      <w:r>
        <w:rPr>
          <w:rFonts w:ascii="Arial" w:cs="Arial" w:eastAsia="Arial" w:hAnsi="Arial"/>
          <w:sz w:val="20"/>
          <w:szCs w:val="20"/>
          <w:color w:val="auto"/>
        </w:rPr>
        <w:t>quarterly earnings release, less capital expenditures, interest, current taxes, restructuring-related charges and special one-time costs for the quarter (as presented in the earnings release or the company’s 10K or 10Q, as applicable).</w:t>
      </w:r>
    </w:p>
    <w:p>
      <w:pPr>
        <w:spacing w:after="0" w:line="135"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“Increased cash” is defined as increased cash and marketable securities during the quarter compared to the prior quarter ending balance, excluding any payments related to restructuring-related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53"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10.24</w:t>
      </w:r>
    </w:p>
    <w:p>
      <w:pPr>
        <w:spacing w:after="0" w:line="200" w:lineRule="exact"/>
        <w:rPr>
          <w:sz w:val="20"/>
          <w:szCs w:val="20"/>
          <w:color w:val="auto"/>
        </w:rPr>
      </w:pPr>
    </w:p>
    <w:p>
      <w:pPr>
        <w:spacing w:after="0" w:line="297" w:lineRule="exact"/>
        <w:rPr>
          <w:sz w:val="20"/>
          <w:szCs w:val="20"/>
          <w:color w:val="auto"/>
        </w:rPr>
      </w:pPr>
    </w:p>
    <w:p>
      <w:pPr>
        <w:ind w:right="440"/>
        <w:spacing w:after="0" w:line="303" w:lineRule="auto"/>
        <w:rPr>
          <w:sz w:val="20"/>
          <w:szCs w:val="20"/>
          <w:color w:val="auto"/>
        </w:rPr>
      </w:pPr>
      <w:r>
        <w:rPr>
          <w:rFonts w:ascii="Arial" w:cs="Arial" w:eastAsia="Arial" w:hAnsi="Arial"/>
          <w:sz w:val="20"/>
          <w:szCs w:val="20"/>
          <w:color w:val="auto"/>
        </w:rPr>
        <w:t>charges and special one-time costs, and excluding any receipts during the quarter from stock sales, loan proceeds, sales of assets or similar items.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 THERE ANYTHING ELSE THAT I SHOULD KNOW?</w:t>
      </w:r>
    </w:p>
    <w:p>
      <w:pPr>
        <w:spacing w:after="0" w:line="46" w:lineRule="exact"/>
        <w:rPr>
          <w:sz w:val="20"/>
          <w:szCs w:val="20"/>
          <w:color w:val="auto"/>
        </w:rPr>
      </w:pPr>
    </w:p>
    <w:p>
      <w:pPr>
        <w:ind w:right="280"/>
        <w:spacing w:after="0" w:line="331" w:lineRule="auto"/>
        <w:rPr>
          <w:sz w:val="20"/>
          <w:szCs w:val="20"/>
          <w:color w:val="auto"/>
        </w:rPr>
      </w:pPr>
      <w:r>
        <w:rPr>
          <w:rFonts w:ascii="Arial" w:cs="Arial" w:eastAsia="Arial" w:hAnsi="Arial"/>
          <w:sz w:val="19"/>
          <w:szCs w:val="19"/>
          <w:color w:val="auto"/>
        </w:rPr>
        <w:t>Everyone should help identify revenue opportunities and areas for cost savings. Achieving our financial targets will not only get the bonuses paid out, but also will set the company on a path to achieve our long-term vision. Together, we can make this happen.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_____________________________________________________________________________________</w:t>
      </w:r>
    </w:p>
    <w:p>
      <w:pPr>
        <w:spacing w:after="0" w:line="40" w:lineRule="exact"/>
        <w:rPr>
          <w:sz w:val="20"/>
          <w:szCs w:val="20"/>
          <w:color w:val="auto"/>
        </w:rPr>
      </w:pPr>
    </w:p>
    <w:p>
      <w:pPr>
        <w:ind w:right="120"/>
        <w:spacing w:after="0" w:line="303" w:lineRule="auto"/>
        <w:rPr>
          <w:sz w:val="20"/>
          <w:szCs w:val="20"/>
          <w:color w:val="auto"/>
        </w:rPr>
      </w:pPr>
      <w:r>
        <w:rPr>
          <w:rFonts w:ascii="Arial" w:cs="Arial" w:eastAsia="Arial" w:hAnsi="Arial"/>
          <w:sz w:val="20"/>
          <w:szCs w:val="20"/>
          <w:color w:val="auto"/>
        </w:rPr>
        <w:t>The company reserves the right to amend or modify this plan to clarify any of its terms. The existence of this plan does not create any rights to continued employment with the company.</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53"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right="3400" w:firstLine="3408"/>
        <w:spacing w:after="0" w:line="425"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ind w:left="1320" w:right="760" w:hanging="326"/>
        <w:spacing w:after="0" w:line="309"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S-3 No. 333-194605) pertaining to $75,000,000 in the aggregate of common stock, preferred stock, depositary shares, warrants, debt securities, and units;</w:t>
      </w:r>
    </w:p>
    <w:p>
      <w:pPr>
        <w:spacing w:after="0" w:line="34" w:lineRule="exact"/>
        <w:rPr>
          <w:rFonts w:ascii="Arial" w:cs="Arial" w:eastAsia="Arial" w:hAnsi="Arial"/>
          <w:sz w:val="18"/>
          <w:szCs w:val="18"/>
          <w:color w:val="auto"/>
        </w:rPr>
      </w:pPr>
    </w:p>
    <w:p>
      <w:pPr>
        <w:ind w:left="1320" w:hanging="326"/>
        <w:spacing w:after="0"/>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Registration Statement (Form S-8 No. 333-190878) pertaining to the Amended and Restated 2000 Employee Stock Purchase Plan;</w:t>
      </w:r>
    </w:p>
    <w:p>
      <w:pPr>
        <w:spacing w:after="0" w:line="128" w:lineRule="exact"/>
        <w:rPr>
          <w:rFonts w:ascii="Arial" w:cs="Arial" w:eastAsia="Arial" w:hAnsi="Arial"/>
          <w:sz w:val="17"/>
          <w:szCs w:val="17"/>
          <w:color w:val="auto"/>
        </w:rPr>
      </w:pPr>
    </w:p>
    <w:p>
      <w:pPr>
        <w:ind w:left="1320" w:hanging="326"/>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333-190879) pertaining to the 2009 Omnibus Incentive Compensation Plan;</w:t>
      </w:r>
    </w:p>
    <w:p>
      <w:pPr>
        <w:spacing w:after="0" w:line="117" w:lineRule="exact"/>
        <w:rPr>
          <w:rFonts w:ascii="Arial" w:cs="Arial" w:eastAsia="Arial" w:hAnsi="Arial"/>
          <w:sz w:val="18"/>
          <w:szCs w:val="18"/>
          <w:color w:val="auto"/>
        </w:rPr>
      </w:pPr>
    </w:p>
    <w:p>
      <w:pPr>
        <w:ind w:left="1320" w:hanging="326"/>
        <w:spacing w:after="0"/>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Registration Statement (Form S-8 No. 333-176490) pertaining to the Amended and Restated 2000 Employee Stock Purchase Plan;</w:t>
      </w:r>
    </w:p>
    <w:p>
      <w:pPr>
        <w:spacing w:after="0" w:line="128" w:lineRule="exact"/>
        <w:rPr>
          <w:rFonts w:ascii="Arial" w:cs="Arial" w:eastAsia="Arial" w:hAnsi="Arial"/>
          <w:sz w:val="17"/>
          <w:szCs w:val="17"/>
          <w:color w:val="auto"/>
        </w:rPr>
      </w:pPr>
    </w:p>
    <w:p>
      <w:pPr>
        <w:ind w:left="1320" w:hanging="326"/>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333-176489) pertaining to the 2009 Omnibus Incentive Compensation Plan;</w:t>
      </w:r>
    </w:p>
    <w:p>
      <w:pPr>
        <w:spacing w:after="0" w:line="117" w:lineRule="exact"/>
        <w:rPr>
          <w:rFonts w:ascii="Arial" w:cs="Arial" w:eastAsia="Arial" w:hAnsi="Arial"/>
          <w:sz w:val="18"/>
          <w:szCs w:val="18"/>
          <w:color w:val="auto"/>
        </w:rPr>
      </w:pPr>
    </w:p>
    <w:p>
      <w:pPr>
        <w:ind w:left="1320" w:hanging="326"/>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333-163033) pertaining to the 2009 Omnibus Incentive Compensation Plan;</w:t>
      </w:r>
    </w:p>
    <w:p>
      <w:pPr>
        <w:spacing w:after="0" w:line="117" w:lineRule="exact"/>
        <w:rPr>
          <w:rFonts w:ascii="Arial" w:cs="Arial" w:eastAsia="Arial" w:hAnsi="Arial"/>
          <w:sz w:val="18"/>
          <w:szCs w:val="18"/>
          <w:color w:val="auto"/>
        </w:rPr>
      </w:pPr>
    </w:p>
    <w:p>
      <w:pPr>
        <w:ind w:left="1320" w:hanging="326"/>
        <w:spacing w:after="0"/>
        <w:tabs>
          <w:tab w:leader="none" w:pos="1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Registration Statement (Form S-8 No. 333-163032) pertaining to the Amended and Restated 2000 Employee Stock Purchase Plan;</w:t>
      </w:r>
    </w:p>
    <w:p>
      <w:pPr>
        <w:spacing w:after="0" w:line="128" w:lineRule="exact"/>
        <w:rPr>
          <w:rFonts w:ascii="Arial" w:cs="Arial" w:eastAsia="Arial" w:hAnsi="Arial"/>
          <w:sz w:val="17"/>
          <w:szCs w:val="17"/>
          <w:color w:val="auto"/>
        </w:rPr>
      </w:pPr>
    </w:p>
    <w:p>
      <w:pPr>
        <w:ind w:left="1320" w:right="180" w:hanging="326"/>
        <w:spacing w:after="0" w:line="309"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333-145482) pertaining to the Amended and Restated 2000 Stock Incentive Plan and the Amended and Restated 2000 Employee Stock Purchase Plan;</w:t>
      </w:r>
    </w:p>
    <w:p>
      <w:pPr>
        <w:spacing w:after="0" w:line="34" w:lineRule="exact"/>
        <w:rPr>
          <w:rFonts w:ascii="Arial" w:cs="Arial" w:eastAsia="Arial" w:hAnsi="Arial"/>
          <w:sz w:val="18"/>
          <w:szCs w:val="18"/>
          <w:color w:val="auto"/>
        </w:rPr>
      </w:pPr>
    </w:p>
    <w:p>
      <w:pPr>
        <w:ind w:left="1320" w:right="180" w:hanging="326"/>
        <w:spacing w:after="0" w:line="309"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Registration Statement (Form S-8 No. 333-139730) pertaining to the Amended and Restated 2000 Stock Incentive Plan and the Amended and Restated 2000 Employee Stock Purchase Plan; and</w:t>
      </w:r>
    </w:p>
    <w:p>
      <w:pPr>
        <w:spacing w:after="0" w:line="34" w:lineRule="exact"/>
        <w:rPr>
          <w:rFonts w:ascii="Arial" w:cs="Arial" w:eastAsia="Arial" w:hAnsi="Arial"/>
          <w:sz w:val="18"/>
          <w:szCs w:val="18"/>
          <w:color w:val="auto"/>
        </w:rPr>
      </w:pPr>
    </w:p>
    <w:p>
      <w:pPr>
        <w:ind w:left="1320" w:right="240" w:hanging="326"/>
        <w:spacing w:after="0" w:line="377" w:lineRule="auto"/>
        <w:tabs>
          <w:tab w:leader="none" w:pos="1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Registration Statement (Form S-8 No. 333-53692) pertaining to the Amended and Restated 2000 Stock Incentive Plan, the Amended and Restated 2000 Employee Stock Purchase Plan and the Amended and Restated 1997 Stock Incentive Plan, as amended;</w:t>
      </w:r>
    </w:p>
    <w:p>
      <w:pPr>
        <w:spacing w:after="0" w:line="313"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of our reports dated March 9, 2015, with respect to the consolidated financial statements and schedule of Novatel Wireless, Inc., and the effectiveness of internal control over financial reporting of Novatel Wireless, Inc. included in this Annual Report (Form 10-K) for the year ended December 31, 2014.</w:t>
      </w: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ectPr>
          <w:pgSz w:w="11900" w:h="16838" w:orient="portrait"/>
          <w:cols w:equalWidth="0" w:num="1">
            <w:col w:w="11420"/>
          </w:cols>
          <w:pgMar w:left="240" w:top="36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Alex Mashinsky, certify that:</w:t>
      </w:r>
    </w:p>
    <w:p>
      <w:pPr>
        <w:spacing w:after="0" w:line="90" w:lineRule="exact"/>
        <w:rPr>
          <w:sz w:val="20"/>
          <w:szCs w:val="20"/>
          <w:color w:val="auto"/>
        </w:rPr>
      </w:pPr>
    </w:p>
    <w:p>
      <w:pPr>
        <w:ind w:left="620" w:hanging="180"/>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2015</w:t>
      </w:r>
    </w:p>
    <w:p>
      <w:pPr>
        <w:spacing w:after="0" w:line="360"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27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2747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Michael Newman, certify that:</w:t>
      </w:r>
    </w:p>
    <w:p>
      <w:pPr>
        <w:spacing w:after="0" w:line="90" w:lineRule="exact"/>
        <w:rPr>
          <w:sz w:val="20"/>
          <w:szCs w:val="20"/>
          <w:color w:val="auto"/>
        </w:rPr>
      </w:pPr>
    </w:p>
    <w:p>
      <w:pPr>
        <w:ind w:left="620" w:hanging="180"/>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Novatel Wireless, Inc.;</w:t>
      </w:r>
    </w:p>
    <w:p>
      <w:pPr>
        <w:spacing w:after="0" w:line="171" w:lineRule="exact"/>
        <w:rPr>
          <w:rFonts w:ascii="Arial" w:cs="Arial" w:eastAsia="Arial" w:hAnsi="Arial"/>
          <w:sz w:val="18"/>
          <w:szCs w:val="18"/>
          <w:color w:val="auto"/>
        </w:rPr>
      </w:pPr>
    </w:p>
    <w:p>
      <w:pPr>
        <w:ind w:right="320" w:firstLine="440"/>
        <w:spacing w:after="0" w:line="342" w:lineRule="auto"/>
        <w:tabs>
          <w:tab w:leader="none" w:pos="61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300" w:firstLine="440"/>
        <w:spacing w:after="0" w:line="277" w:lineRule="auto"/>
        <w:tabs>
          <w:tab w:leader="none" w:pos="6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440"/>
        <w:spacing w:after="0" w:line="264" w:lineRule="auto"/>
        <w:tabs>
          <w:tab w:leader="none" w:pos="6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ind w:left="920" w:right="300" w:hanging="331"/>
        <w:spacing w:after="0" w:line="264"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right="620" w:hanging="331"/>
        <w:spacing w:after="0" w:line="264"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20" w:right="780" w:hanging="331"/>
        <w:spacing w:after="0" w:line="342" w:lineRule="auto"/>
        <w:tabs>
          <w:tab w:leader="none" w:pos="9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hanging="331"/>
        <w:spacing w:after="0" w:line="264"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20" w:firstLine="440"/>
        <w:spacing w:after="0" w:line="308" w:lineRule="auto"/>
        <w:tabs>
          <w:tab w:leader="none" w:pos="61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0" w:hanging="331"/>
        <w:spacing w:after="0" w:line="277"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20" w:right="160" w:hanging="331"/>
        <w:spacing w:after="0" w:line="277" w:lineRule="auto"/>
        <w:tabs>
          <w:tab w:leader="none" w:pos="9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2015</w:t>
      </w:r>
    </w:p>
    <w:p>
      <w:pPr>
        <w:spacing w:after="0" w:line="360"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ICHAEL</w:t>
      </w:r>
      <w:r>
        <w:rPr>
          <w:rFonts w:ascii="Arial" w:cs="Arial" w:eastAsia="Arial" w:hAnsi="Arial"/>
          <w:sz w:val="18"/>
          <w:szCs w:val="18"/>
          <w:color w:val="auto"/>
        </w:rPr>
        <w:t xml:space="preserve"> N</w:t>
      </w:r>
      <w:r>
        <w:rPr>
          <w:rFonts w:ascii="Arial" w:cs="Arial" w:eastAsia="Arial" w:hAnsi="Arial"/>
          <w:sz w:val="14"/>
          <w:szCs w:val="14"/>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3601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connection with this Annual report on Form 10-K of Novatel Wireless, Inc. (the “Company”) for the year ended December 31, 2014, as filed with the Securities and Exchange Commission on the date hereof (the “Report”), Alex Mashinsky, Chief Executive Officer of the Company,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33" w:lineRule="exact"/>
        <w:rPr>
          <w:sz w:val="20"/>
          <w:szCs w:val="20"/>
          <w:color w:val="auto"/>
        </w:rPr>
      </w:pPr>
    </w:p>
    <w:p>
      <w:pPr>
        <w:ind w:left="620" w:hanging="180"/>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b w:val="1"/>
          <w:bCs w:val="1"/>
          <w:color w:val="auto"/>
        </w:rPr>
      </w:pPr>
    </w:p>
    <w:p>
      <w:pPr>
        <w:ind w:left="620" w:hanging="180"/>
        <w:spacing w:after="0"/>
        <w:tabs>
          <w:tab w:leader="none" w:pos="62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Report fairly presents, in all material respects, the financial condition and the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9, 2015</w:t>
      </w:r>
    </w:p>
    <w:p>
      <w:pPr>
        <w:spacing w:after="0" w:line="171" w:lineRule="exact"/>
        <w:rPr>
          <w:sz w:val="20"/>
          <w:szCs w:val="20"/>
          <w:color w:val="auto"/>
        </w:rPr>
      </w:pPr>
    </w:p>
    <w:p>
      <w:pPr>
        <w:ind w:left="40"/>
        <w:spacing w:after="0"/>
        <w:tabs>
          <w:tab w:leader="none" w:pos="3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LEX</w:t>
      </w:r>
      <w:r>
        <w:rPr>
          <w:rFonts w:ascii="Arial" w:cs="Arial" w:eastAsia="Arial" w:hAnsi="Arial"/>
          <w:sz w:val="18"/>
          <w:szCs w:val="18"/>
          <w:color w:val="auto"/>
        </w:rPr>
        <w:t xml:space="preserve"> M</w:t>
      </w:r>
      <w:r>
        <w:rPr>
          <w:rFonts w:ascii="Arial" w:cs="Arial" w:eastAsia="Arial" w:hAnsi="Arial"/>
          <w:sz w:val="14"/>
          <w:szCs w:val="14"/>
          <w:color w:val="auto"/>
        </w:rPr>
        <w:t>ASHINSKY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87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Alex Mashinsky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In connection with this Annual report on Form 10-K of Novatel Wireless, Inc. (the “Company”) for the year ended December 31, 2014, as filed with the Securities and Exchange Commission on the date hereof (the “Report”), Michael Newman, Chief Financial Officer of the Company, hereby certifies pursuant to the requirement set forth in Rule 13a-14(b) of the Securities Exchange Act of 1934, as amended (the “Exchange Act”), and Section 1350 of Chapter 63 of Title 18 of the United States Code (18 U.S.C. Section 1350) that, to the best of his knowledge:</w:t>
      </w:r>
    </w:p>
    <w:p>
      <w:pPr>
        <w:spacing w:after="0" w:line="117" w:lineRule="exact"/>
        <w:rPr>
          <w:sz w:val="20"/>
          <w:szCs w:val="20"/>
          <w:color w:val="auto"/>
        </w:rPr>
      </w:pPr>
    </w:p>
    <w:p>
      <w:pPr>
        <w:ind w:left="620" w:hanging="180"/>
        <w:spacing w:after="0"/>
        <w:tabs>
          <w:tab w:leader="none" w:pos="62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b w:val="1"/>
          <w:bCs w:val="1"/>
          <w:color w:val="auto"/>
        </w:rPr>
      </w:pPr>
    </w:p>
    <w:p>
      <w:pPr>
        <w:ind w:left="620" w:hanging="180"/>
        <w:spacing w:after="0"/>
        <w:tabs>
          <w:tab w:leader="none" w:pos="62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Report fairly presents, in all material respects, the financial condition and the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2015</w:t>
      </w:r>
    </w:p>
    <w:p>
      <w:pPr>
        <w:spacing w:after="0" w:line="171" w:lineRule="exact"/>
        <w:rPr>
          <w:sz w:val="20"/>
          <w:szCs w:val="20"/>
          <w:color w:val="auto"/>
        </w:rPr>
      </w:pPr>
    </w:p>
    <w:p>
      <w:pPr>
        <w:ind w:left="40"/>
        <w:spacing w:after="0"/>
        <w:tabs>
          <w:tab w:leader="none" w:pos="3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N</w:t>
      </w:r>
      <w:r>
        <w:rPr>
          <w:rFonts w:ascii="Arial" w:cs="Arial" w:eastAsia="Arial" w:hAnsi="Arial"/>
          <w:sz w:val="14"/>
          <w:szCs w:val="14"/>
          <w:color w:val="auto"/>
        </w:rPr>
        <w:t>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87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7370" cy="17145"/>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Michael Newman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decimal"/>
      <w:start w:val="2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1)"/>
      <w:numFmt w:val="lowerRoman"/>
      <w:start w:val="3"/>
    </w:lvl>
  </w:abstractNum>
  <w:abstractNum w:abstractNumId="26">
    <w:nsid w:val="6CEAF087"/>
    <w:multiLevelType w:val="hybridMultilevel"/>
    <w:lvl w:ilvl="0">
      <w:lvlJc w:val="left"/>
      <w:lvlText w:val="(%1)"/>
      <w:numFmt w:val="lowerRoman"/>
      <w:start w:val="1"/>
    </w:lvl>
  </w:abstractNum>
  <w:abstractNum w:abstractNumId="27">
    <w:nsid w:val="22221A70"/>
    <w:multiLevelType w:val="hybridMultilevel"/>
    <w:lvl w:ilvl="0">
      <w:lvlJc w:val="left"/>
      <w:lvlText w:val="%1"/>
      <w:numFmt w:val="decimal"/>
      <w:start w:val="2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upperLetter"/>
      <w:start w:val="2"/>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2019-12-29T19:22:46Z</dcterms:created>
  <dcterms:modified xsi:type="dcterms:W3CDTF">2019-12-29T19:22:46Z</dcterms:modified>
</cp:coreProperties>
</file>