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ind w:left="3920" w:right="2040" w:hanging="3912"/>
        <w:spacing w:after="0" w:line="434" w:lineRule="auto"/>
        <w:tabs>
          <w:tab w:leader="none" w:pos="451"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September 30, 2011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OR</w:t>
      </w:r>
    </w:p>
    <w:p>
      <w:pPr>
        <w:spacing w:after="0" w:line="20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35" w:lineRule="exact"/>
        <w:rPr>
          <w:sz w:val="24"/>
          <w:szCs w:val="24"/>
          <w:color w:val="auto"/>
        </w:rPr>
      </w:pPr>
    </w:p>
    <w:tbl>
      <w:tblPr>
        <w:tblLayout w:type="fixed"/>
        <w:tblInd w:w="3580" w:type="dxa"/>
        <w:tblCellMar>
          <w:top w:w="0" w:type="dxa"/>
          <w:left w:w="0" w:type="dxa"/>
          <w:bottom w:w="0" w:type="dxa"/>
          <w:right w:w="0" w:type="dxa"/>
        </w:tblCellMar>
      </w:tblPr>
      <w:tr>
        <w:trPr>
          <w:trHeight w:val="253"/>
        </w:trPr>
        <w:tc>
          <w:tcPr>
            <w:tcW w:w="2580" w:type="dxa"/>
            <w:vAlign w:val="bottom"/>
          </w:tcPr>
          <w:p>
            <w:pPr>
              <w:spacing w:after="0"/>
              <w:rPr>
                <w:sz w:val="20"/>
                <w:szCs w:val="20"/>
                <w:color w:val="auto"/>
              </w:rPr>
            </w:pPr>
            <w:r>
              <w:rPr>
                <w:rFonts w:ascii="Arial" w:cs="Arial" w:eastAsia="Arial" w:hAnsi="Arial"/>
                <w:sz w:val="22"/>
                <w:szCs w:val="22"/>
                <w:color w:val="auto"/>
                <w:w w:val="90"/>
              </w:rPr>
              <w:t>For the transition period from</w:t>
            </w:r>
          </w:p>
        </w:tc>
        <w:tc>
          <w:tcPr>
            <w:tcW w:w="640" w:type="dxa"/>
            <w:vAlign w:val="bottom"/>
            <w:tcBorders>
              <w:bottom w:val="single" w:sz="8" w:color="auto"/>
            </w:tcBorders>
          </w:tcPr>
          <w:p>
            <w:pPr>
              <w:spacing w:after="0"/>
              <w:rPr>
                <w:sz w:val="21"/>
                <w:szCs w:val="21"/>
                <w:color w:val="auto"/>
              </w:rPr>
            </w:pPr>
          </w:p>
        </w:tc>
        <w:tc>
          <w:tcPr>
            <w:tcW w:w="280" w:type="dxa"/>
            <w:vAlign w:val="bottom"/>
          </w:tcPr>
          <w:p>
            <w:pPr>
              <w:ind w:left="60"/>
              <w:spacing w:after="0"/>
              <w:rPr>
                <w:sz w:val="20"/>
                <w:szCs w:val="20"/>
                <w:color w:val="auto"/>
              </w:rPr>
            </w:pPr>
            <w:r>
              <w:rPr>
                <w:rFonts w:ascii="Arial" w:cs="Arial" w:eastAsia="Arial" w:hAnsi="Arial"/>
                <w:sz w:val="22"/>
                <w:szCs w:val="22"/>
                <w:color w:val="auto"/>
              </w:rPr>
              <w:t>to</w:t>
            </w:r>
          </w:p>
        </w:tc>
        <w:tc>
          <w:tcPr>
            <w:tcW w:w="700" w:type="dxa"/>
            <w:vAlign w:val="bottom"/>
            <w:tcBorders>
              <w:bottom w:val="single" w:sz="8" w:color="auto"/>
            </w:tcBorders>
          </w:tcPr>
          <w:p>
            <w:pPr>
              <w:spacing w:after="0"/>
              <w:rPr>
                <w:sz w:val="21"/>
                <w:szCs w:val="21"/>
                <w:color w:val="auto"/>
              </w:rPr>
            </w:pPr>
          </w:p>
        </w:tc>
        <w:tc>
          <w:tcPr>
            <w:tcW w:w="60" w:type="dxa"/>
            <w:vAlign w:val="bottom"/>
          </w:tcPr>
          <w:p>
            <w:pPr>
              <w:jc w:val="right"/>
              <w:spacing w:after="0"/>
              <w:rPr>
                <w:sz w:val="20"/>
                <w:szCs w:val="20"/>
                <w:color w:val="auto"/>
              </w:rPr>
            </w:pPr>
            <w:r>
              <w:rPr>
                <w:rFonts w:ascii="Arial" w:cs="Arial" w:eastAsia="Arial" w:hAnsi="Arial"/>
                <w:sz w:val="19"/>
                <w:szCs w:val="19"/>
                <w:color w:val="auto"/>
                <w:w w:val="74"/>
              </w:rPr>
              <w:t>.</w:t>
            </w:r>
          </w:p>
        </w:tc>
      </w:tr>
      <w:tr>
        <w:trPr>
          <w:trHeight w:val="397"/>
        </w:trPr>
        <w:tc>
          <w:tcPr>
            <w:tcW w:w="3500" w:type="dxa"/>
            <w:vAlign w:val="bottom"/>
            <w:gridSpan w:val="3"/>
          </w:tcPr>
          <w:p>
            <w:pPr>
              <w:ind w:left="840"/>
              <w:spacing w:after="0"/>
              <w:rPr>
                <w:sz w:val="20"/>
                <w:szCs w:val="20"/>
                <w:color w:val="auto"/>
              </w:rPr>
            </w:pPr>
            <w:r>
              <w:rPr>
                <w:rFonts w:ascii="Arial" w:cs="Arial" w:eastAsia="Arial" w:hAnsi="Arial"/>
                <w:sz w:val="18"/>
                <w:szCs w:val="18"/>
                <w:color w:val="auto"/>
                <w:w w:val="91"/>
              </w:rPr>
              <w:t>Commission file number: 000-31659</w:t>
            </w: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181610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NOVATEL WIRELESS,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1520" w:type="dxa"/>
        <w:tblCellMar>
          <w:top w:w="0" w:type="dxa"/>
          <w:left w:w="0" w:type="dxa"/>
          <w:bottom w:w="0" w:type="dxa"/>
          <w:right w:w="0" w:type="dxa"/>
        </w:tblCellMar>
      </w:tblPr>
      <w:tr>
        <w:trPr>
          <w:trHeight w:val="220"/>
        </w:trPr>
        <w:tc>
          <w:tcPr>
            <w:tcW w:w="4680" w:type="dxa"/>
            <w:vAlign w:val="bottom"/>
          </w:tcPr>
          <w:p>
            <w:pPr>
              <w:jc w:val="center"/>
              <w:ind w:right="1904"/>
              <w:spacing w:after="0"/>
              <w:rPr>
                <w:sz w:val="20"/>
                <w:szCs w:val="20"/>
                <w:color w:val="auto"/>
              </w:rPr>
            </w:pPr>
            <w:r>
              <w:rPr>
                <w:rFonts w:ascii="Arial" w:cs="Arial" w:eastAsia="Arial" w:hAnsi="Arial"/>
                <w:sz w:val="18"/>
                <w:szCs w:val="18"/>
                <w:b w:val="1"/>
                <w:bCs w:val="1"/>
                <w:color w:val="auto"/>
                <w:w w:val="88"/>
              </w:rPr>
              <w:t>Delaware</w:t>
            </w:r>
          </w:p>
        </w:tc>
        <w:tc>
          <w:tcPr>
            <w:tcW w:w="2980" w:type="dxa"/>
            <w:vAlign w:val="bottom"/>
          </w:tcPr>
          <w:p>
            <w:pPr>
              <w:jc w:val="right"/>
              <w:ind w:right="4"/>
              <w:spacing w:after="0"/>
              <w:rPr>
                <w:sz w:val="20"/>
                <w:szCs w:val="20"/>
                <w:color w:val="auto"/>
              </w:rPr>
            </w:pPr>
            <w:r>
              <w:rPr>
                <w:rFonts w:ascii="Arial" w:cs="Arial" w:eastAsia="Arial" w:hAnsi="Arial"/>
                <w:sz w:val="18"/>
                <w:szCs w:val="18"/>
                <w:b w:val="1"/>
                <w:bCs w:val="1"/>
                <w:color w:val="auto"/>
              </w:rPr>
              <w:t>86-0824673</w:t>
            </w:r>
          </w:p>
        </w:tc>
      </w:tr>
      <w:tr>
        <w:trPr>
          <w:trHeight w:val="149"/>
        </w:trPr>
        <w:tc>
          <w:tcPr>
            <w:tcW w:w="4680" w:type="dxa"/>
            <w:vAlign w:val="bottom"/>
          </w:tcPr>
          <w:p>
            <w:pPr>
              <w:jc w:val="center"/>
              <w:ind w:right="1904"/>
              <w:spacing w:after="0" w:line="149" w:lineRule="exact"/>
              <w:rPr>
                <w:sz w:val="20"/>
                <w:szCs w:val="20"/>
                <w:color w:val="auto"/>
              </w:rPr>
            </w:pPr>
            <w:r>
              <w:rPr>
                <w:rFonts w:ascii="Arial" w:cs="Arial" w:eastAsia="Arial" w:hAnsi="Arial"/>
                <w:sz w:val="14"/>
                <w:szCs w:val="14"/>
                <w:color w:val="auto"/>
                <w:w w:val="87"/>
              </w:rPr>
              <w:t>(State or Other Jurisdiction</w:t>
            </w:r>
          </w:p>
        </w:tc>
        <w:tc>
          <w:tcPr>
            <w:tcW w:w="2980" w:type="dxa"/>
            <w:vAlign w:val="bottom"/>
          </w:tcPr>
          <w:p>
            <w:pPr>
              <w:jc w:val="center"/>
              <w:ind w:left="1904"/>
              <w:spacing w:after="0" w:line="149" w:lineRule="exact"/>
              <w:rPr>
                <w:sz w:val="20"/>
                <w:szCs w:val="20"/>
                <w:color w:val="auto"/>
              </w:rPr>
            </w:pPr>
            <w:r>
              <w:rPr>
                <w:rFonts w:ascii="Arial" w:cs="Arial" w:eastAsia="Arial" w:hAnsi="Arial"/>
                <w:sz w:val="14"/>
                <w:szCs w:val="14"/>
                <w:color w:val="auto"/>
                <w:w w:val="89"/>
              </w:rPr>
              <w:t>(I.R.S. Employer</w:t>
            </w:r>
          </w:p>
        </w:tc>
      </w:tr>
      <w:tr>
        <w:trPr>
          <w:trHeight w:val="172"/>
        </w:trPr>
        <w:tc>
          <w:tcPr>
            <w:tcW w:w="4680" w:type="dxa"/>
            <w:vAlign w:val="bottom"/>
          </w:tcPr>
          <w:p>
            <w:pPr>
              <w:jc w:val="center"/>
              <w:ind w:right="1924"/>
              <w:spacing w:after="0"/>
              <w:rPr>
                <w:sz w:val="20"/>
                <w:szCs w:val="20"/>
                <w:color w:val="auto"/>
              </w:rPr>
            </w:pPr>
            <w:r>
              <w:rPr>
                <w:rFonts w:ascii="Arial" w:cs="Arial" w:eastAsia="Arial" w:hAnsi="Arial"/>
                <w:sz w:val="14"/>
                <w:szCs w:val="14"/>
                <w:color w:val="auto"/>
                <w:w w:val="89"/>
              </w:rPr>
              <w:t>of Incorporation or Organization)</w:t>
            </w:r>
          </w:p>
        </w:tc>
        <w:tc>
          <w:tcPr>
            <w:tcW w:w="2980" w:type="dxa"/>
            <w:vAlign w:val="bottom"/>
          </w:tcPr>
          <w:p>
            <w:pPr>
              <w:jc w:val="center"/>
              <w:ind w:left="1904"/>
              <w:spacing w:after="0"/>
              <w:rPr>
                <w:sz w:val="20"/>
                <w:szCs w:val="20"/>
                <w:color w:val="auto"/>
              </w:rPr>
            </w:pPr>
            <w:r>
              <w:rPr>
                <w:rFonts w:ascii="Arial" w:cs="Arial" w:eastAsia="Arial" w:hAnsi="Arial"/>
                <w:sz w:val="14"/>
                <w:szCs w:val="14"/>
                <w:color w:val="auto"/>
                <w:w w:val="91"/>
              </w:rPr>
              <w:t>Identification No.)</w:t>
            </w:r>
          </w:p>
        </w:tc>
      </w:tr>
      <w:tr>
        <w:trPr>
          <w:trHeight w:val="408"/>
        </w:trPr>
        <w:tc>
          <w:tcPr>
            <w:tcW w:w="4680" w:type="dxa"/>
            <w:vAlign w:val="bottom"/>
          </w:tcPr>
          <w:p>
            <w:pPr>
              <w:jc w:val="center"/>
              <w:ind w:right="1904"/>
              <w:spacing w:after="0"/>
              <w:rPr>
                <w:sz w:val="20"/>
                <w:szCs w:val="20"/>
                <w:color w:val="auto"/>
              </w:rPr>
            </w:pPr>
            <w:r>
              <w:rPr>
                <w:rFonts w:ascii="Arial" w:cs="Arial" w:eastAsia="Arial" w:hAnsi="Arial"/>
                <w:sz w:val="18"/>
                <w:szCs w:val="18"/>
                <w:b w:val="1"/>
                <w:bCs w:val="1"/>
                <w:color w:val="auto"/>
                <w:w w:val="87"/>
              </w:rPr>
              <w:t>9645 Scranton Road, San Diego, CA</w:t>
            </w:r>
          </w:p>
        </w:tc>
        <w:tc>
          <w:tcPr>
            <w:tcW w:w="2980" w:type="dxa"/>
            <w:vAlign w:val="bottom"/>
          </w:tcPr>
          <w:p>
            <w:pPr>
              <w:jc w:val="right"/>
              <w:ind w:right="204"/>
              <w:spacing w:after="0"/>
              <w:rPr>
                <w:sz w:val="20"/>
                <w:szCs w:val="20"/>
                <w:color w:val="auto"/>
              </w:rPr>
            </w:pPr>
            <w:r>
              <w:rPr>
                <w:rFonts w:ascii="Arial" w:cs="Arial" w:eastAsia="Arial" w:hAnsi="Arial"/>
                <w:sz w:val="18"/>
                <w:szCs w:val="18"/>
                <w:b w:val="1"/>
                <w:bCs w:val="1"/>
                <w:color w:val="auto"/>
              </w:rPr>
              <w:t>92121</w:t>
            </w:r>
          </w:p>
        </w:tc>
      </w:tr>
      <w:tr>
        <w:trPr>
          <w:trHeight w:val="172"/>
        </w:trPr>
        <w:tc>
          <w:tcPr>
            <w:tcW w:w="4680" w:type="dxa"/>
            <w:vAlign w:val="bottom"/>
          </w:tcPr>
          <w:p>
            <w:pPr>
              <w:jc w:val="center"/>
              <w:ind w:right="1924"/>
              <w:spacing w:after="0"/>
              <w:rPr>
                <w:sz w:val="20"/>
                <w:szCs w:val="20"/>
                <w:color w:val="auto"/>
              </w:rPr>
            </w:pPr>
            <w:r>
              <w:rPr>
                <w:rFonts w:ascii="Arial" w:cs="Arial" w:eastAsia="Arial" w:hAnsi="Arial"/>
                <w:sz w:val="14"/>
                <w:szCs w:val="14"/>
                <w:color w:val="auto"/>
                <w:w w:val="89"/>
              </w:rPr>
              <w:t>(Address of Principal Executive Offices)</w:t>
            </w:r>
          </w:p>
        </w:tc>
        <w:tc>
          <w:tcPr>
            <w:tcW w:w="2980" w:type="dxa"/>
            <w:vAlign w:val="bottom"/>
          </w:tcPr>
          <w:p>
            <w:pPr>
              <w:jc w:val="center"/>
              <w:ind w:left="1904"/>
              <w:spacing w:after="0"/>
              <w:rPr>
                <w:sz w:val="20"/>
                <w:szCs w:val="20"/>
                <w:color w:val="auto"/>
              </w:rPr>
            </w:pPr>
            <w:r>
              <w:rPr>
                <w:rFonts w:ascii="Arial" w:cs="Arial" w:eastAsia="Arial" w:hAnsi="Arial"/>
                <w:sz w:val="14"/>
                <w:szCs w:val="14"/>
                <w:color w:val="auto"/>
                <w:w w:val="90"/>
              </w:rPr>
              <w:t>(Zip Code)</w:t>
            </w:r>
          </w:p>
        </w:tc>
      </w:tr>
    </w:tbl>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(858) 812-3400</w:t>
      </w:r>
    </w:p>
    <w:p>
      <w:pPr>
        <w:spacing w:after="0" w:line="177" w:lineRule="exact"/>
        <w:rPr>
          <w:sz w:val="24"/>
          <w:szCs w:val="24"/>
          <w:color w:val="auto"/>
        </w:rPr>
      </w:pPr>
    </w:p>
    <w:p>
      <w:pPr>
        <w:ind w:right="24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812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3300" w:type="dxa"/>
            <w:vAlign w:val="bottom"/>
          </w:tcPr>
          <w:p>
            <w:pPr>
              <w:ind w:left="86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r>
      <w:tr>
        <w:trPr>
          <w:trHeight w:val="324"/>
        </w:trPr>
        <w:tc>
          <w:tcPr>
            <w:tcW w:w="8120" w:type="dxa"/>
            <w:vAlign w:val="bottom"/>
          </w:tcPr>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300" w:type="dxa"/>
            <w:vAlign w:val="bottom"/>
          </w:tcPr>
          <w:p>
            <w:pPr>
              <w:ind w:left="440"/>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r>
      <w:tr>
        <w:trPr>
          <w:trHeight w:val="378"/>
        </w:trPr>
        <w:tc>
          <w:tcPr>
            <w:tcW w:w="8120" w:type="dxa"/>
            <w:vAlign w:val="bottom"/>
          </w:tcPr>
          <w:p>
            <w:pPr>
              <w:spacing w:after="0"/>
              <w:rPr>
                <w:sz w:val="20"/>
                <w:szCs w:val="20"/>
                <w:color w:val="auto"/>
              </w:rPr>
            </w:pPr>
            <w:r>
              <w:rPr>
                <w:rFonts w:ascii="Arial" w:cs="Arial" w:eastAsia="Arial" w:hAnsi="Arial"/>
                <w:sz w:val="18"/>
                <w:szCs w:val="18"/>
                <w:color w:val="auto"/>
                <w:w w:val="90"/>
              </w:rPr>
              <w:t>Indicate by check mark whether the registrant is a shell company (as defined in Rule 12b-2 of the Exchange Act).</w:t>
            </w:r>
          </w:p>
        </w:tc>
        <w:tc>
          <w:tcPr>
            <w:tcW w:w="330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r>
      <w:tr>
        <w:trPr>
          <w:trHeight w:val="358"/>
        </w:trPr>
        <w:tc>
          <w:tcPr>
            <w:tcW w:w="8120" w:type="dxa"/>
            <w:vAlign w:val="bottom"/>
          </w:tcPr>
          <w:p>
            <w:pPr>
              <w:ind w:left="460"/>
              <w:spacing w:after="0"/>
              <w:rPr>
                <w:sz w:val="20"/>
                <w:szCs w:val="20"/>
                <w:color w:val="auto"/>
              </w:rPr>
            </w:pPr>
            <w:r>
              <w:rPr>
                <w:rFonts w:ascii="Arial" w:cs="Arial" w:eastAsia="Arial" w:hAnsi="Arial"/>
                <w:sz w:val="18"/>
                <w:szCs w:val="18"/>
                <w:color w:val="auto"/>
                <w:w w:val="88"/>
              </w:rPr>
              <w:t>The number of shares of the registrant’s common stock outstanding as of November 7, 2011 was 32,059,715</w:t>
            </w:r>
          </w:p>
        </w:tc>
        <w:tc>
          <w:tcPr>
            <w:tcW w:w="3300" w:type="dxa"/>
            <w:vAlign w:val="bottom"/>
          </w:tcPr>
          <w:p>
            <w:pPr>
              <w:spacing w:after="0"/>
              <w:rPr>
                <w:sz w:val="24"/>
                <w:szCs w:val="24"/>
                <w:color w:val="auto"/>
              </w:rPr>
            </w:pPr>
          </w:p>
        </w:tc>
      </w:tr>
      <w:tr>
        <w:trPr>
          <w:trHeight w:val="205"/>
        </w:trPr>
        <w:tc>
          <w:tcPr>
            <w:tcW w:w="812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tcPr>
          <w:p>
            <w:pPr>
              <w:spacing w:after="0"/>
              <w:rPr>
                <w:sz w:val="17"/>
                <w:szCs w:val="17"/>
                <w:color w:val="auto"/>
              </w:rPr>
            </w:pPr>
          </w:p>
        </w:tc>
      </w:tr>
      <w:tr>
        <w:trPr>
          <w:trHeight w:val="34"/>
        </w:trPr>
        <w:tc>
          <w:tcPr>
            <w:tcW w:w="812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r>
    </w:tbl>
    <w:p>
      <w:pPr>
        <w:sectPr>
          <w:pgSz w:w="11900" w:h="16838" w:orient="portrait"/>
          <w:cols w:equalWidth="0" w:num="1">
            <w:col w:w="11420"/>
          </w:cols>
          <w:pgMar w:left="240" w:top="435" w:right="239" w:bottom="1440" w:gutter="0" w:footer="0" w:header="0"/>
        </w:sectPr>
      </w:pPr>
    </w:p>
    <w:bookmarkStart w:id="1" w:name="page2"/>
    <w:bookmarkEnd w:id="1"/>
    <w:p>
      <w:pPr>
        <w:ind w:right="2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used in this report on Form 10-Q, unless the context otherwise requires, the terms “we,” “us,” “our,” the “Company” and “Novatel Wireless” refer to Novatel Wireless, Inc., a Delaware corporation, and its wholly owned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This report contains forward-looking statements within the meaning of Section 27A of the Securities Act of 1933 and Section 21E of the Securities Exchange Act of 1934. You should not place undue reliance on these statements. These forward-looking statements include statements that reflect the views of our senior management with respect to our current expectations, assumptions, estimates and projections about Novatel Wireless and our industry. Statements that include the words “may,” “could,” “should,” “would,” “estimate,” “anticipate,” “believe,” “expect,” “preliminary,” “intend,” “plan,” “project,” “outlook,” “will” and similar words and phrases identify forward-looking statements. Forward-looking statements address matters that involve risks and uncertainties that could cause actual results to differ materially from those anticipated in these forward-looking statements as of the date of this report. We believe that these factors include the following:</w:t>
      </w:r>
    </w:p>
    <w:p>
      <w:pPr>
        <w:spacing w:after="0" w:line="66" w:lineRule="exact"/>
        <w:rPr>
          <w:sz w:val="20"/>
          <w:szCs w:val="20"/>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in the market for wireless broadband data access products;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integrate Enfora and any other business, products, technologies or personnel that we may acquire in the future;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continuing impact of uncertain global economic conditions on the demand for our products;</w:t>
      </w:r>
    </w:p>
    <w:p>
      <w:pPr>
        <w:spacing w:after="0" w:line="90"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introduce and sell new products that comply with current and evolving industry standards, including 3G and 4G standards, and government regulations;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maintain strategic relationships to expand into new markets;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a small number of customers for a substantial portion of our revenues;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demand for broadband wireless access to enterprise networks and the Internet;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pending or future litigation, including the current class action securities litigation and intellectual property litigation;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properly manage the growth of our business to avoid significant strains on our management and operations and disruptions to our business;</w:t>
      </w:r>
    </w:p>
    <w:p>
      <w:pPr>
        <w:spacing w:after="0" w:line="124" w:lineRule="exact"/>
        <w:rPr>
          <w:rFonts w:ascii="Arial" w:cs="Arial" w:eastAsia="Arial" w:hAnsi="Arial"/>
          <w:sz w:val="15"/>
          <w:szCs w:val="15"/>
          <w:color w:val="auto"/>
        </w:rPr>
      </w:pPr>
    </w:p>
    <w:p>
      <w:pPr>
        <w:ind w:left="660" w:right="120" w:hanging="206"/>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 parties to procure components and manufacture our products, including some of our product component suppliers in Thailand that have been unable to deliver sufficient quantities of components as a result of the effects of the monsoon season which resulted in major catastrophic floods that began on July 2011 and continues through the date of this report;</w:t>
      </w:r>
    </w:p>
    <w:p>
      <w:pPr>
        <w:spacing w:after="0" w:line="59"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accurately forecast customer demand and order the manufacture and timely delivery of sufficient product quantities;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sole source suppliers for some components used in our products;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infringement claims with respect to intellectual property contained in our products;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continued ability to license necessary third-party technology for the development and sale of our products;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doing business abroad, including foreign currency risks;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retain and manage additional qualified personnel to maintain and expand our business; and</w:t>
      </w:r>
    </w:p>
    <w:p>
      <w:pPr>
        <w:spacing w:after="0" w:line="17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foregoing factors should not be construed as exhaustive and should be read together with the other cautionary statements included in this and other reports we file with the Securities and Exchange Commission, including the information in “Item 1A. Risk Factors” in Part I of our Annual Report on Form 10-K for the year ended December 31, 2010. If one or more events related to these or other risks or uncertainties materialize, or if our underlying assumptions prove to be incorrect, actual results may differ materially from what we anticipate. We undertake no obligation to publicly update or revise any forward-looking statements, except to the extent required by law.</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“Novatel Wireless”, the Novatel Wireless logo, “MiFi”, “MiFi Intelligent Mobile Hotspot”, “MiFi OS”, “MiFi Home”, “MobiLink”, “Ovation,” “Expedite”, “Freedom Box”, “Merlin”, “MiFi.Freedom. My Way”, “Conversa”, “TotalMobileInternet”, “NovaSpeed”, “NovaCore” and “NovaDrive” are trademarks of Novatel Wireless, Inc. “Enfora”, the Enfora logo, “Spider”, “Enabling Information Anywhere”, “Enabler”, “eWide” and “N4A” are trademarks of Enfora, Inc. Other trademarks, trade names or service marks used in this report are the property of their respective owners.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540" w:type="dxa"/>
            <w:vAlign w:val="bottom"/>
          </w:tcPr>
          <w:p>
            <w:pPr>
              <w:jc w:val="center"/>
              <w:ind w:left="1572"/>
              <w:spacing w:after="0"/>
              <w:rPr>
                <w:sz w:val="20"/>
                <w:szCs w:val="20"/>
                <w:color w:val="auto"/>
              </w:rPr>
            </w:pPr>
            <w:r>
              <w:rPr>
                <w:rFonts w:ascii="Arial" w:cs="Arial" w:eastAsia="Arial" w:hAnsi="Arial"/>
                <w:sz w:val="18"/>
                <w:szCs w:val="18"/>
                <w:b w:val="1"/>
                <w:bCs w:val="1"/>
                <w:color w:val="auto"/>
              </w:rPr>
              <w:t>PART I—FINANCIAL INFORMATION</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9"/>
        </w:trPr>
        <w:tc>
          <w:tcPr>
            <w:tcW w:w="62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540" w:type="dxa"/>
            <w:vAlign w:val="bottom"/>
          </w:tcPr>
          <w:p>
            <w:pPr>
              <w:ind w:left="420"/>
              <w:spacing w:after="0"/>
              <w:rPr>
                <w:sz w:val="20"/>
                <w:szCs w:val="20"/>
                <w:color w:val="auto"/>
              </w:rPr>
            </w:pPr>
            <w:r>
              <w:rPr>
                <w:rFonts w:ascii="Arial" w:cs="Arial" w:eastAsia="Arial" w:hAnsi="Arial"/>
                <w:sz w:val="18"/>
                <w:szCs w:val="18"/>
                <w:b w:val="1"/>
                <w:bCs w:val="1"/>
                <w:color w:val="auto"/>
              </w:rPr>
              <w:t>Financial Statements.</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6"/>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540" w:type="dxa"/>
            <w:vAlign w:val="bottom"/>
          </w:tcPr>
          <w:p>
            <w:pPr>
              <w:jc w:val="center"/>
              <w:ind w:left="1572"/>
              <w:spacing w:after="0"/>
              <w:rPr>
                <w:sz w:val="20"/>
                <w:szCs w:val="20"/>
                <w:color w:val="auto"/>
              </w:rPr>
            </w:pPr>
            <w:r>
              <w:rPr>
                <w:rFonts w:ascii="Arial" w:cs="Arial" w:eastAsia="Arial" w:hAnsi="Arial"/>
                <w:sz w:val="18"/>
                <w:szCs w:val="18"/>
                <w:b w:val="1"/>
                <w:bCs w:val="1"/>
                <w:color w:val="auto"/>
                <w:w w:val="96"/>
              </w:rPr>
              <w:t>NOVATEL WIRELESS, INC.</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540" w:type="dxa"/>
            <w:vAlign w:val="bottom"/>
          </w:tcPr>
          <w:p>
            <w:pPr>
              <w:jc w:val="center"/>
              <w:ind w:left="1572"/>
              <w:spacing w:after="0"/>
              <w:rPr>
                <w:sz w:val="20"/>
                <w:szCs w:val="20"/>
                <w:color w:val="auto"/>
              </w:rPr>
            </w:pPr>
            <w:r>
              <w:rPr>
                <w:rFonts w:ascii="Arial" w:cs="Arial" w:eastAsia="Arial" w:hAnsi="Arial"/>
                <w:sz w:val="18"/>
                <w:szCs w:val="18"/>
                <w:b w:val="1"/>
                <w:bCs w:val="1"/>
                <w:color w:val="auto"/>
                <w:w w:val="96"/>
              </w:rPr>
              <w:t>CONSOLIDATED BALANCE SHEETS</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540" w:type="dxa"/>
            <w:vAlign w:val="bottom"/>
          </w:tcPr>
          <w:p>
            <w:pPr>
              <w:jc w:val="center"/>
              <w:ind w:left="1572"/>
              <w:spacing w:after="0"/>
              <w:rPr>
                <w:sz w:val="20"/>
                <w:szCs w:val="20"/>
                <w:color w:val="auto"/>
              </w:rPr>
            </w:pPr>
            <w:r>
              <w:rPr>
                <w:rFonts w:ascii="Arial" w:cs="Arial" w:eastAsia="Arial" w:hAnsi="Arial"/>
                <w:sz w:val="18"/>
                <w:szCs w:val="18"/>
                <w:b w:val="1"/>
                <w:bCs w:val="1"/>
                <w:color w:val="auto"/>
                <w:w w:val="86"/>
              </w:rPr>
              <w:t>(in thousands, except per share data)</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40"/>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ind w:right="34"/>
              <w:spacing w:after="0" w:line="142" w:lineRule="exact"/>
              <w:rPr>
                <w:sz w:val="20"/>
                <w:szCs w:val="20"/>
                <w:color w:val="auto"/>
              </w:rPr>
            </w:pPr>
            <w:r>
              <w:rPr>
                <w:rFonts w:ascii="Arial" w:cs="Arial" w:eastAsia="Arial" w:hAnsi="Arial"/>
                <w:sz w:val="14"/>
                <w:szCs w:val="14"/>
                <w:b w:val="1"/>
                <w:bCs w:val="1"/>
                <w:color w:val="auto"/>
                <w:w w:val="87"/>
              </w:rPr>
              <w:t>Unaudited</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540" w:type="dxa"/>
            <w:vAlign w:val="bottom"/>
            <w:shd w:val="clear" w:color="auto" w:fill="CCEEFF"/>
          </w:tcPr>
          <w:p>
            <w:pPr>
              <w:ind w:left="3420"/>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21,927</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17,375</w:t>
            </w: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Marketable securities</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33,391</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59,775</w:t>
            </w:r>
          </w:p>
        </w:tc>
      </w:tr>
      <w:tr>
        <w:trPr>
          <w:trHeight w:val="208"/>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receivable, net of allowance for doubtful accounts of $ 279 at September 30, 2011 and $228 at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December 31, 2010</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54,221</w:t>
            </w: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63,570</w:t>
            </w: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49,149</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43,094</w:t>
            </w: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tax assets, net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r>
      <w:tr>
        <w:trPr>
          <w:trHeight w:val="223"/>
        </w:trPr>
        <w:tc>
          <w:tcPr>
            <w:tcW w:w="20" w:type="dxa"/>
            <w:vAlign w:val="bottom"/>
          </w:tcPr>
          <w:p>
            <w:pPr>
              <w:spacing w:after="0"/>
              <w:rPr>
                <w:sz w:val="19"/>
                <w:szCs w:val="19"/>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Prepaid expenses and other</w:t>
            </w: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3,682</w:t>
            </w: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162,584</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190,993</w:t>
            </w:r>
          </w:p>
        </w:tc>
      </w:tr>
      <w:tr>
        <w:trPr>
          <w:trHeight w:val="316"/>
        </w:trPr>
        <w:tc>
          <w:tcPr>
            <w:tcW w:w="9160" w:type="dxa"/>
            <w:vAlign w:val="bottom"/>
            <w:gridSpan w:val="3"/>
          </w:tcPr>
          <w:p>
            <w:pPr>
              <w:spacing w:after="0"/>
              <w:rPr>
                <w:sz w:val="20"/>
                <w:szCs w:val="20"/>
                <w:color w:val="auto"/>
              </w:rPr>
            </w:pPr>
            <w:r>
              <w:rPr>
                <w:rFonts w:ascii="Arial" w:cs="Arial" w:eastAsia="Arial" w:hAnsi="Arial"/>
                <w:sz w:val="18"/>
                <w:szCs w:val="18"/>
                <w:color w:val="auto"/>
                <w:w w:val="92"/>
              </w:rPr>
              <w:t>Property and equipment, net of accumulated depreciation of $ 56,565 at September 30, 2011 and $48,223 at December 31,</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620" w:type="dxa"/>
            <w:vAlign w:val="bottom"/>
            <w:gridSpan w:val="2"/>
          </w:tcPr>
          <w:p>
            <w:pPr>
              <w:jc w:val="right"/>
              <w:spacing w:after="0"/>
              <w:rPr>
                <w:sz w:val="20"/>
                <w:szCs w:val="20"/>
                <w:color w:val="auto"/>
              </w:rPr>
            </w:pPr>
            <w:r>
              <w:rPr>
                <w:rFonts w:ascii="Arial" w:cs="Arial" w:eastAsia="Arial" w:hAnsi="Arial"/>
                <w:sz w:val="18"/>
                <w:szCs w:val="18"/>
                <w:color w:val="auto"/>
              </w:rPr>
              <w:t>2010</w:t>
            </w:r>
          </w:p>
        </w:tc>
        <w:tc>
          <w:tcPr>
            <w:tcW w:w="8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19,900</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21,281</w:t>
            </w:r>
          </w:p>
        </w:tc>
      </w:tr>
      <w:tr>
        <w:trPr>
          <w:trHeight w:val="218"/>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9,101</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20,676</w:t>
            </w: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w w:val="96"/>
              </w:rPr>
              <w:t>Intangible assets, net of accumulated amortization of $9,552 at September 30, 2011 and $4,019 at December 31, 2010</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37,251</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44,265</w:t>
            </w: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19,535</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22,258</w:t>
            </w: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Deferred tax assets, net</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2,142</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2,103</w:t>
            </w: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540" w:type="dxa"/>
            <w:vAlign w:val="bottom"/>
          </w:tcPr>
          <w:p>
            <w:pPr>
              <w:ind w:left="680"/>
              <w:spacing w:after="0"/>
              <w:rPr>
                <w:sz w:val="20"/>
                <w:szCs w:val="20"/>
                <w:color w:val="auto"/>
              </w:rPr>
            </w:pPr>
            <w:r>
              <w:rPr>
                <w:rFonts w:ascii="Arial" w:cs="Arial" w:eastAsia="Arial" w:hAnsi="Arial"/>
                <w:sz w:val="18"/>
                <w:szCs w:val="18"/>
                <w:color w:val="auto"/>
              </w:rPr>
              <w:t>Total assets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251,226</w:t>
            </w:r>
          </w:p>
        </w:tc>
        <w:tc>
          <w:tcPr>
            <w:tcW w:w="5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302,108</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540" w:type="dxa"/>
            <w:vAlign w:val="bottom"/>
            <w:shd w:val="clear" w:color="auto" w:fill="CCEEFF"/>
          </w:tcPr>
          <w:p>
            <w:pPr>
              <w:ind w:left="1840"/>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54,032</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77,769</w:t>
            </w:r>
          </w:p>
        </w:tc>
      </w:tr>
      <w:tr>
        <w:trPr>
          <w:trHeight w:val="223"/>
        </w:trPr>
        <w:tc>
          <w:tcPr>
            <w:tcW w:w="20" w:type="dxa"/>
            <w:vAlign w:val="bottom"/>
          </w:tcPr>
          <w:p>
            <w:pPr>
              <w:spacing w:after="0"/>
              <w:rPr>
                <w:sz w:val="19"/>
                <w:szCs w:val="19"/>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Accrued expenses</w:t>
            </w: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27,618</w:t>
            </w: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26,050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81,650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103,819</w:t>
            </w: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Capital lease obligations, long-term</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2,275</w:t>
            </w:r>
          </w:p>
        </w:tc>
        <w:tc>
          <w:tcPr>
            <w:tcW w:w="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12,831</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540" w:type="dxa"/>
            <w:vAlign w:val="bottom"/>
          </w:tcPr>
          <w:p>
            <w:pPr>
              <w:ind w:left="680"/>
              <w:spacing w:after="0"/>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83,925</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116,705</w:t>
            </w: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Preferred stock, par value $0.001; 2,000 shares authorized and none outstanding</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08"/>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5"/>
              </w:rPr>
              <w:t>Common stock, par value $0.001; 50,000 shares authorized, 32,060 and 31,852 shares issued and outstanding at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September 30, 2011 and December 31, 2010, respectively</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427,710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424,270</w:t>
            </w: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 income</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r>
      <w:tr>
        <w:trPr>
          <w:trHeight w:val="223"/>
        </w:trPr>
        <w:tc>
          <w:tcPr>
            <w:tcW w:w="20" w:type="dxa"/>
            <w:vAlign w:val="bottom"/>
          </w:tcPr>
          <w:p>
            <w:pPr>
              <w:spacing w:after="0"/>
              <w:rPr>
                <w:sz w:val="19"/>
                <w:szCs w:val="19"/>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19"/>
                <w:szCs w:val="19"/>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(235,408)</w:t>
            </w:r>
          </w:p>
        </w:tc>
        <w:tc>
          <w:tcPr>
            <w:tcW w:w="1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(213,920)</w:t>
            </w: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5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192,301</w:t>
            </w:r>
          </w:p>
        </w:tc>
        <w:tc>
          <w:tcPr>
            <w:tcW w:w="5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210,403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Treasury stock at cost; 2,436 common shares at September 30, 2011 and December 31, 2010</w:t>
            </w:r>
          </w:p>
        </w:tc>
        <w:tc>
          <w:tcPr>
            <w:tcW w:w="80" w:type="dxa"/>
            <w:vAlign w:val="bottom"/>
          </w:tcPr>
          <w:p>
            <w:pPr>
              <w:spacing w:after="0"/>
              <w:rPr>
                <w:sz w:val="19"/>
                <w:szCs w:val="19"/>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(25,000)</w:t>
            </w: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5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167,301</w:t>
            </w:r>
          </w:p>
        </w:tc>
        <w:tc>
          <w:tcPr>
            <w:tcW w:w="5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185,403</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540" w:type="dxa"/>
            <w:vAlign w:val="bottom"/>
          </w:tcPr>
          <w:p>
            <w:pPr>
              <w:ind w:left="1120"/>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251,226</w:t>
            </w:r>
          </w:p>
        </w:tc>
        <w:tc>
          <w:tcPr>
            <w:tcW w:w="5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302,108</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NOVATEL WIRELESS,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2"/>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113,263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75,602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293,068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219,664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Cost of net revenues</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86,573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62,412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234,202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175,113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26,690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13,190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58,866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44,551</w:t>
            </w:r>
          </w:p>
        </w:tc>
        <w:tc>
          <w:tcPr>
            <w:tcW w:w="0" w:type="dxa"/>
            <w:vAlign w:val="bottom"/>
          </w:tcPr>
          <w:p>
            <w:pPr>
              <w:spacing w:after="0"/>
              <w:rPr>
                <w:sz w:val="1"/>
                <w:szCs w:val="1"/>
                <w:color w:val="auto"/>
              </w:rPr>
            </w:pPr>
          </w:p>
        </w:tc>
      </w:tr>
      <w:tr>
        <w:trPr>
          <w:trHeight w:val="222"/>
        </w:trPr>
        <w:tc>
          <w:tcPr>
            <w:tcW w:w="774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15,126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11,576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45,517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7,211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4,163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22,805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3,833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16,550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Goodwill impairment loss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3,514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3,514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purchased intangible assets</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tcPr>
          <w:p>
            <w:pPr>
              <w:ind w:left="86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32,738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19,572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90,085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(6,048)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(6,382)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(31,219)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(19,086)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 (expense), net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(2,292)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(679)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420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(1,164)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(6,667)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(8,254)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(32,080)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(20,113)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(11,165)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(1,149)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(10,592)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12,420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4,498</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(7,105)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(21,488)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(32,533)</w:t>
            </w: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Arial" w:cs="Arial" w:eastAsia="Arial" w:hAnsi="Arial"/>
                <w:sz w:val="18"/>
                <w:szCs w:val="18"/>
                <w:color w:val="auto"/>
              </w:rPr>
              <w:t>Per share data:</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77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0.14</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(0.22)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(0.67)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used in computation of basic and diluted net income (loss)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32,057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31,615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32,370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31,615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32,005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31,414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6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NOVATEL WIRELESS,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80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8080" w:type="dxa"/>
            <w:vAlign w:val="bottom"/>
            <w:tcBorders>
              <w:bottom w:val="single" w:sz="8" w:color="CCEEFF"/>
            </w:tcBorders>
          </w:tcPr>
          <w:p>
            <w:pPr>
              <w:spacing w:after="0"/>
              <w:rPr>
                <w:sz w:val="12"/>
                <w:szCs w:val="12"/>
                <w:color w:val="auto"/>
              </w:rPr>
            </w:pPr>
          </w:p>
        </w:tc>
        <w:tc>
          <w:tcPr>
            <w:tcW w:w="15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80" w:type="dxa"/>
            <w:vAlign w:val="bottom"/>
          </w:tcPr>
          <w:p>
            <w:pPr>
              <w:ind w:left="440"/>
              <w:spacing w:after="0"/>
              <w:rPr>
                <w:sz w:val="20"/>
                <w:szCs w:val="20"/>
                <w:color w:val="auto"/>
              </w:rPr>
            </w:pPr>
            <w:r>
              <w:rPr>
                <w:rFonts w:ascii="Arial" w:cs="Arial" w:eastAsia="Arial" w:hAnsi="Arial"/>
                <w:sz w:val="18"/>
                <w:szCs w:val="18"/>
                <w:color w:val="auto"/>
              </w:rPr>
              <w:t>Net loss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(21,488)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(32,533)</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ind w:left="880"/>
              <w:spacing w:after="0"/>
              <w:rPr>
                <w:sz w:val="20"/>
                <w:szCs w:val="20"/>
                <w:color w:val="auto"/>
              </w:rPr>
            </w:pPr>
            <w:r>
              <w:rPr>
                <w:rFonts w:ascii="Arial" w:cs="Arial" w:eastAsia="Arial" w:hAnsi="Arial"/>
                <w:sz w:val="18"/>
                <w:szCs w:val="18"/>
                <w:color w:val="auto"/>
              </w:rPr>
              <w:t>Amortization of debt issuance costs</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Loan fees recognized on extinguishment of debt</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2,370</w:t>
            </w:r>
          </w:p>
        </w:tc>
        <w:tc>
          <w:tcPr>
            <w:tcW w:w="0" w:type="dxa"/>
            <w:vAlign w:val="bottom"/>
          </w:tcPr>
          <w:p>
            <w:pPr>
              <w:spacing w:after="0"/>
              <w:rPr>
                <w:sz w:val="1"/>
                <w:szCs w:val="1"/>
                <w:color w:val="auto"/>
              </w:rPr>
            </w:pPr>
          </w:p>
        </w:tc>
      </w:tr>
      <w:tr>
        <w:trPr>
          <w:trHeight w:val="216"/>
        </w:trPr>
        <w:tc>
          <w:tcPr>
            <w:tcW w:w="8080" w:type="dxa"/>
            <w:vAlign w:val="bottom"/>
          </w:tcPr>
          <w:p>
            <w:pPr>
              <w:ind w:left="880"/>
              <w:spacing w:after="0"/>
              <w:rPr>
                <w:sz w:val="20"/>
                <w:szCs w:val="20"/>
                <w:color w:val="auto"/>
              </w:rPr>
            </w:pPr>
            <w:r>
              <w:rPr>
                <w:rFonts w:ascii="Arial" w:cs="Arial" w:eastAsia="Arial" w:hAnsi="Arial"/>
                <w:sz w:val="18"/>
                <w:szCs w:val="18"/>
                <w:color w:val="auto"/>
              </w:rPr>
              <w:t>Depreciation and amortization</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13,782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7,970</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Goodwill impairment</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8080" w:type="dxa"/>
            <w:vAlign w:val="bottom"/>
          </w:tcPr>
          <w:p>
            <w:pPr>
              <w:ind w:left="880"/>
              <w:spacing w:after="0"/>
              <w:rPr>
                <w:sz w:val="20"/>
                <w:szCs w:val="20"/>
                <w:color w:val="auto"/>
              </w:rPr>
            </w:pPr>
            <w:r>
              <w:rPr>
                <w:rFonts w:ascii="Arial" w:cs="Arial" w:eastAsia="Arial" w:hAnsi="Arial"/>
                <w:sz w:val="18"/>
                <w:szCs w:val="18"/>
                <w:color w:val="auto"/>
              </w:rPr>
              <w:t>Impairment loss on intangible assets and equipment</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Provision for bad debts</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8080" w:type="dxa"/>
            <w:vAlign w:val="bottom"/>
          </w:tcPr>
          <w:p>
            <w:pPr>
              <w:ind w:left="880"/>
              <w:spacing w:after="0"/>
              <w:rPr>
                <w:sz w:val="20"/>
                <w:szCs w:val="20"/>
                <w:color w:val="auto"/>
              </w:rPr>
            </w:pPr>
            <w:r>
              <w:rPr>
                <w:rFonts w:ascii="Arial" w:cs="Arial" w:eastAsia="Arial" w:hAnsi="Arial"/>
                <w:sz w:val="18"/>
                <w:szCs w:val="18"/>
                <w:color w:val="auto"/>
              </w:rPr>
              <w:t>Net impairment loss on marketable securities</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Inventory provision</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16"/>
        </w:trPr>
        <w:tc>
          <w:tcPr>
            <w:tcW w:w="8080" w:type="dxa"/>
            <w:vAlign w:val="bottom"/>
          </w:tcPr>
          <w:p>
            <w:pPr>
              <w:ind w:left="880"/>
              <w:spacing w:after="0"/>
              <w:rPr>
                <w:sz w:val="20"/>
                <w:szCs w:val="20"/>
                <w:color w:val="auto"/>
              </w:rPr>
            </w:pPr>
            <w:r>
              <w:rPr>
                <w:rFonts w:ascii="Arial" w:cs="Arial" w:eastAsia="Arial" w:hAnsi="Arial"/>
                <w:sz w:val="18"/>
                <w:szCs w:val="18"/>
                <w:color w:val="auto"/>
              </w:rPr>
              <w:t>Share-based compensation expense</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4,057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4,695</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Excess tax benefits from equity based compensation</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8080" w:type="dxa"/>
            <w:vAlign w:val="bottom"/>
          </w:tcPr>
          <w:p>
            <w:pPr>
              <w:ind w:left="880"/>
              <w:spacing w:after="0"/>
              <w:rPr>
                <w:sz w:val="20"/>
                <w:szCs w:val="20"/>
                <w:color w:val="auto"/>
              </w:rPr>
            </w:pPr>
            <w:r>
              <w:rPr>
                <w:rFonts w:ascii="Arial" w:cs="Arial" w:eastAsia="Arial" w:hAnsi="Arial"/>
                <w:sz w:val="18"/>
                <w:szCs w:val="18"/>
                <w:color w:val="auto"/>
              </w:rPr>
              <w:t>Non-cash income tax expense (benefit)</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(11,287)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11,579</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Changes in assets and liabilities:</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ind w:left="1300"/>
              <w:spacing w:after="0"/>
              <w:rPr>
                <w:sz w:val="20"/>
                <w:szCs w:val="20"/>
                <w:color w:val="auto"/>
              </w:rPr>
            </w:pPr>
            <w:r>
              <w:rPr>
                <w:rFonts w:ascii="Arial" w:cs="Arial" w:eastAsia="Arial" w:hAnsi="Arial"/>
                <w:sz w:val="18"/>
                <w:szCs w:val="18"/>
                <w:color w:val="auto"/>
              </w:rPr>
              <w:t>Accounts receivable</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9,046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3,739</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Inventories</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7,961</w:t>
            </w:r>
          </w:p>
        </w:tc>
        <w:tc>
          <w:tcPr>
            <w:tcW w:w="0" w:type="dxa"/>
            <w:vAlign w:val="bottom"/>
          </w:tcPr>
          <w:p>
            <w:pPr>
              <w:spacing w:after="0"/>
              <w:rPr>
                <w:sz w:val="1"/>
                <w:szCs w:val="1"/>
                <w:color w:val="auto"/>
              </w:rPr>
            </w:pPr>
          </w:p>
        </w:tc>
      </w:tr>
      <w:tr>
        <w:trPr>
          <w:trHeight w:val="216"/>
        </w:trPr>
        <w:tc>
          <w:tcPr>
            <w:tcW w:w="8080" w:type="dxa"/>
            <w:vAlign w:val="bottom"/>
          </w:tcPr>
          <w:p>
            <w:pPr>
              <w:ind w:left="1300"/>
              <w:spacing w:after="0"/>
              <w:rPr>
                <w:sz w:val="20"/>
                <w:szCs w:val="20"/>
                <w:color w:val="auto"/>
              </w:rPr>
            </w:pPr>
            <w:r>
              <w:rPr>
                <w:rFonts w:ascii="Arial" w:cs="Arial" w:eastAsia="Arial" w:hAnsi="Arial"/>
                <w:sz w:val="18"/>
                <w:szCs w:val="18"/>
                <w:color w:val="auto"/>
              </w:rPr>
              <w:t>Prepaid expenses and other assets</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3,484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Accounts payable</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(23,941)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10,569</w:t>
            </w:r>
          </w:p>
        </w:tc>
        <w:tc>
          <w:tcPr>
            <w:tcW w:w="0" w:type="dxa"/>
            <w:vAlign w:val="bottom"/>
          </w:tcPr>
          <w:p>
            <w:pPr>
              <w:spacing w:after="0"/>
              <w:rPr>
                <w:sz w:val="1"/>
                <w:szCs w:val="1"/>
                <w:color w:val="auto"/>
              </w:rPr>
            </w:pPr>
          </w:p>
        </w:tc>
      </w:tr>
      <w:tr>
        <w:trPr>
          <w:trHeight w:val="216"/>
        </w:trPr>
        <w:tc>
          <w:tcPr>
            <w:tcW w:w="8080" w:type="dxa"/>
            <w:vAlign w:val="bottom"/>
          </w:tcPr>
          <w:p>
            <w:pPr>
              <w:ind w:left="1300"/>
              <w:spacing w:after="0"/>
              <w:rPr>
                <w:sz w:val="20"/>
                <w:szCs w:val="20"/>
                <w:color w:val="auto"/>
              </w:rPr>
            </w:pPr>
            <w:r>
              <w:rPr>
                <w:rFonts w:ascii="Arial" w:cs="Arial" w:eastAsia="Arial" w:hAnsi="Arial"/>
                <w:sz w:val="18"/>
                <w:szCs w:val="18"/>
                <w:color w:val="auto"/>
              </w:rPr>
              <w:t>Accrued expenses, income taxes, and other</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1,651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(3,887)</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8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Net cash provided by (used in) operating activities</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(26,702)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13,948</w:t>
            </w:r>
          </w:p>
        </w:tc>
        <w:tc>
          <w:tcPr>
            <w:tcW w:w="0" w:type="dxa"/>
            <w:vAlign w:val="bottom"/>
          </w:tcPr>
          <w:p>
            <w:pPr>
              <w:spacing w:after="0"/>
              <w:rPr>
                <w:sz w:val="1"/>
                <w:szCs w:val="1"/>
                <w:color w:val="auto"/>
              </w:rPr>
            </w:pPr>
          </w:p>
        </w:tc>
      </w:tr>
      <w:tr>
        <w:trPr>
          <w:trHeight w:val="222"/>
        </w:trPr>
        <w:tc>
          <w:tcPr>
            <w:tcW w:w="80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Purchases of property and equipment</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(5,585)</w:t>
            </w:r>
          </w:p>
        </w:tc>
        <w:tc>
          <w:tcPr>
            <w:tcW w:w="0" w:type="dxa"/>
            <w:vAlign w:val="bottom"/>
          </w:tcPr>
          <w:p>
            <w:pPr>
              <w:spacing w:after="0"/>
              <w:rPr>
                <w:sz w:val="1"/>
                <w:szCs w:val="1"/>
                <w:color w:val="auto"/>
              </w:rPr>
            </w:pPr>
          </w:p>
        </w:tc>
      </w:tr>
      <w:tr>
        <w:trPr>
          <w:trHeight w:val="216"/>
        </w:trPr>
        <w:tc>
          <w:tcPr>
            <w:tcW w:w="8080" w:type="dxa"/>
            <w:vAlign w:val="bottom"/>
          </w:tcPr>
          <w:p>
            <w:pPr>
              <w:ind w:left="440"/>
              <w:spacing w:after="0"/>
              <w:rPr>
                <w:sz w:val="20"/>
                <w:szCs w:val="20"/>
                <w:color w:val="auto"/>
              </w:rPr>
            </w:pPr>
            <w:r>
              <w:rPr>
                <w:rFonts w:ascii="Arial" w:cs="Arial" w:eastAsia="Arial" w:hAnsi="Arial"/>
                <w:sz w:val="18"/>
                <w:szCs w:val="18"/>
                <w:color w:val="auto"/>
              </w:rPr>
              <w:t>Purchases of intangible assets</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Purchases of securities</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(21,366)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(155,009)</w:t>
            </w:r>
          </w:p>
        </w:tc>
        <w:tc>
          <w:tcPr>
            <w:tcW w:w="0" w:type="dxa"/>
            <w:vAlign w:val="bottom"/>
          </w:tcPr>
          <w:p>
            <w:pPr>
              <w:spacing w:after="0"/>
              <w:rPr>
                <w:sz w:val="1"/>
                <w:szCs w:val="1"/>
                <w:color w:val="auto"/>
              </w:rPr>
            </w:pPr>
          </w:p>
        </w:tc>
      </w:tr>
      <w:tr>
        <w:trPr>
          <w:trHeight w:val="223"/>
        </w:trPr>
        <w:tc>
          <w:tcPr>
            <w:tcW w:w="8080" w:type="dxa"/>
            <w:vAlign w:val="bottom"/>
          </w:tcPr>
          <w:p>
            <w:pPr>
              <w:ind w:left="440"/>
              <w:spacing w:after="0"/>
              <w:rPr>
                <w:sz w:val="20"/>
                <w:szCs w:val="20"/>
                <w:color w:val="auto"/>
              </w:rPr>
            </w:pPr>
            <w:r>
              <w:rPr>
                <w:rFonts w:ascii="Arial" w:cs="Arial" w:eastAsia="Arial" w:hAnsi="Arial"/>
                <w:sz w:val="18"/>
                <w:szCs w:val="18"/>
                <w:color w:val="auto"/>
              </w:rPr>
              <w:t>Securities maturities/sales</w:t>
            </w:r>
          </w:p>
        </w:tc>
        <w:tc>
          <w:tcPr>
            <w:tcW w:w="1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58,539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164,187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Net cash provided by investing activities</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32,026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3,483</w:t>
            </w:r>
          </w:p>
        </w:tc>
        <w:tc>
          <w:tcPr>
            <w:tcW w:w="0" w:type="dxa"/>
            <w:vAlign w:val="bottom"/>
          </w:tcPr>
          <w:p>
            <w:pPr>
              <w:spacing w:after="0"/>
              <w:rPr>
                <w:sz w:val="1"/>
                <w:szCs w:val="1"/>
                <w:color w:val="auto"/>
              </w:rPr>
            </w:pPr>
          </w:p>
        </w:tc>
      </w:tr>
      <w:tr>
        <w:trPr>
          <w:trHeight w:val="222"/>
        </w:trPr>
        <w:tc>
          <w:tcPr>
            <w:tcW w:w="80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Proceeds from the issuance of short-term debt, net of issuance costs</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12,000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27,415</w:t>
            </w:r>
          </w:p>
        </w:tc>
        <w:tc>
          <w:tcPr>
            <w:tcW w:w="0" w:type="dxa"/>
            <w:vAlign w:val="bottom"/>
          </w:tcPr>
          <w:p>
            <w:pPr>
              <w:spacing w:after="0"/>
              <w:rPr>
                <w:sz w:val="1"/>
                <w:szCs w:val="1"/>
                <w:color w:val="auto"/>
              </w:rPr>
            </w:pPr>
          </w:p>
        </w:tc>
      </w:tr>
      <w:tr>
        <w:trPr>
          <w:trHeight w:val="216"/>
        </w:trPr>
        <w:tc>
          <w:tcPr>
            <w:tcW w:w="8080" w:type="dxa"/>
            <w:vAlign w:val="bottom"/>
          </w:tcPr>
          <w:p>
            <w:pPr>
              <w:ind w:left="440"/>
              <w:spacing w:after="0"/>
              <w:rPr>
                <w:sz w:val="20"/>
                <w:szCs w:val="20"/>
                <w:color w:val="auto"/>
              </w:rPr>
            </w:pPr>
            <w:r>
              <w:rPr>
                <w:rFonts w:ascii="Arial" w:cs="Arial" w:eastAsia="Arial" w:hAnsi="Arial"/>
                <w:sz w:val="18"/>
                <w:szCs w:val="18"/>
                <w:color w:val="auto"/>
              </w:rPr>
              <w:t>Principal repayments of short-term debt</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(12,000)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Principal payments under capital lease obligations</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8080" w:type="dxa"/>
            <w:vAlign w:val="bottom"/>
          </w:tcPr>
          <w:p>
            <w:pPr>
              <w:ind w:left="440"/>
              <w:spacing w:after="0"/>
              <w:rPr>
                <w:sz w:val="20"/>
                <w:szCs w:val="20"/>
                <w:color w:val="auto"/>
              </w:rPr>
            </w:pPr>
            <w:r>
              <w:rPr>
                <w:rFonts w:ascii="Arial" w:cs="Arial" w:eastAsia="Arial" w:hAnsi="Arial"/>
                <w:sz w:val="18"/>
                <w:szCs w:val="18"/>
                <w:color w:val="auto"/>
              </w:rPr>
              <w:t>Proceeds from stock option exercises net of taxes paid on vested restricted stock units</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(617)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Excess tax benefits from equity based compensation</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8080" w:type="dxa"/>
            <w:vAlign w:val="bottom"/>
          </w:tcPr>
          <w:p>
            <w:pPr>
              <w:ind w:left="440"/>
              <w:spacing w:after="0"/>
              <w:rPr>
                <w:sz w:val="20"/>
                <w:szCs w:val="20"/>
                <w:color w:val="auto"/>
              </w:rPr>
            </w:pPr>
            <w:r>
              <w:rPr>
                <w:rFonts w:ascii="Arial" w:cs="Arial" w:eastAsia="Arial" w:hAnsi="Arial"/>
                <w:sz w:val="18"/>
                <w:szCs w:val="18"/>
                <w:color w:val="auto"/>
              </w:rPr>
              <w:t>Remittance from restricted funds</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188,890</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Deposit of restricted funds</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(188,890)</w:t>
            </w:r>
          </w:p>
        </w:tc>
        <w:tc>
          <w:tcPr>
            <w:tcW w:w="0" w:type="dxa"/>
            <w:vAlign w:val="bottom"/>
          </w:tcPr>
          <w:p>
            <w:pPr>
              <w:spacing w:after="0"/>
              <w:rPr>
                <w:sz w:val="1"/>
                <w:szCs w:val="1"/>
                <w:color w:val="auto"/>
              </w:rPr>
            </w:pPr>
          </w:p>
        </w:tc>
      </w:tr>
      <w:tr>
        <w:trPr>
          <w:trHeight w:val="20"/>
        </w:trPr>
        <w:tc>
          <w:tcPr>
            <w:tcW w:w="8080" w:type="dxa"/>
            <w:vAlign w:val="bottom"/>
            <w:vMerge w:val="restart"/>
          </w:tcPr>
          <w:p>
            <w:pPr>
              <w:ind w:left="1740"/>
              <w:spacing w:after="0"/>
              <w:rPr>
                <w:sz w:val="20"/>
                <w:szCs w:val="20"/>
                <w:color w:val="auto"/>
              </w:rPr>
            </w:pPr>
            <w:r>
              <w:rPr>
                <w:rFonts w:ascii="Arial" w:cs="Arial" w:eastAsia="Arial" w:hAnsi="Arial"/>
                <w:sz w:val="18"/>
                <w:szCs w:val="18"/>
                <w:color w:val="auto"/>
              </w:rPr>
              <w:t>Net cash used in financing activities</w:t>
            </w:r>
          </w:p>
        </w:tc>
        <w:tc>
          <w:tcPr>
            <w:tcW w:w="1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080" w:type="dxa"/>
            <w:vAlign w:val="bottom"/>
            <w:vMerge w:val="continue"/>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(698)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18"/>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21"/>
        </w:trPr>
        <w:tc>
          <w:tcPr>
            <w:tcW w:w="8080" w:type="dxa"/>
            <w:vAlign w:val="bottom"/>
          </w:tcPr>
          <w:p>
            <w:pPr>
              <w:ind w:left="1740"/>
              <w:spacing w:after="0"/>
              <w:rPr>
                <w:sz w:val="20"/>
                <w:szCs w:val="20"/>
                <w:color w:val="auto"/>
              </w:rPr>
            </w:pPr>
            <w:r>
              <w:rPr>
                <w:rFonts w:ascii="Arial" w:cs="Arial" w:eastAsia="Arial" w:hAnsi="Arial"/>
                <w:sz w:val="18"/>
                <w:szCs w:val="18"/>
                <w:color w:val="auto"/>
              </w:rPr>
              <w:t>Net increase in cash and cash equivalents</w:t>
            </w:r>
          </w:p>
        </w:tc>
        <w:tc>
          <w:tcPr>
            <w:tcW w:w="1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4,552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17,375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100,025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8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21,927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116,117</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ind w:left="440"/>
              <w:spacing w:after="0"/>
              <w:rPr>
                <w:sz w:val="20"/>
                <w:szCs w:val="20"/>
                <w:color w:val="auto"/>
              </w:rPr>
            </w:pPr>
            <w:r>
              <w:rPr>
                <w:rFonts w:ascii="Arial" w:cs="Arial" w:eastAsia="Arial" w:hAnsi="Arial"/>
                <w:sz w:val="18"/>
                <w:szCs w:val="18"/>
                <w:color w:val="auto"/>
              </w:rPr>
              <w:t>Cash paid during the year for:</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Interest</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8080" w:type="dxa"/>
            <w:vAlign w:val="bottom"/>
          </w:tcPr>
          <w:p>
            <w:pPr>
              <w:ind w:left="880"/>
              <w:spacing w:after="0"/>
              <w:rPr>
                <w:sz w:val="20"/>
                <w:szCs w:val="20"/>
                <w:color w:val="auto"/>
              </w:rPr>
            </w:pPr>
            <w:r>
              <w:rPr>
                <w:rFonts w:ascii="Arial" w:cs="Arial" w:eastAsia="Arial" w:hAnsi="Arial"/>
                <w:sz w:val="18"/>
                <w:szCs w:val="18"/>
                <w:color w:val="auto"/>
              </w:rPr>
              <w:t>Income taxes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194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non-cash investing activities:</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ind w:left="440"/>
              <w:spacing w:after="0"/>
              <w:rPr>
                <w:sz w:val="20"/>
                <w:szCs w:val="20"/>
                <w:color w:val="auto"/>
              </w:rPr>
            </w:pPr>
            <w:r>
              <w:rPr>
                <w:rFonts w:ascii="Arial" w:cs="Arial" w:eastAsia="Arial" w:hAnsi="Arial"/>
                <w:sz w:val="18"/>
                <w:szCs w:val="18"/>
                <w:color w:val="auto"/>
              </w:rPr>
              <w:t>Building rent incentives to fund leasehold improvements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1,869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non-cash financing activities:</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ind w:left="440"/>
              <w:spacing w:after="0"/>
              <w:rPr>
                <w:sz w:val="20"/>
                <w:szCs w:val="20"/>
                <w:color w:val="auto"/>
              </w:rPr>
            </w:pPr>
            <w:r>
              <w:rPr>
                <w:rFonts w:ascii="Arial" w:cs="Arial" w:eastAsia="Arial" w:hAnsi="Arial"/>
                <w:sz w:val="18"/>
                <w:szCs w:val="18"/>
                <w:color w:val="auto"/>
              </w:rPr>
              <w:t>Marketable equity securities received in settlement of note receivable</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384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debt issuance costs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NOVATEL WIRELESS,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information contained herein has been prepared by Novatel Wireless, Inc. (the “Company”) in accordance with the rules of the Securities and Exchange Commission. The information at September 30, 2011 and the results of the Company’s operations for the three and nine months ended September 30, 2011 and 2010 are unaudited. The consolidated financial statements reflect all adjustments, consisting of only normal recurring accruals, which are, in the opinion of management, necessary for a fair statement of the results of the interim periods presented. These consolidated financial statements and notes hereto should be read in conjunction with the audited financial statements and notes thereto included in the Company’s Annual Report on Form 10-K for the year ended December 31, 2010 (“2010 Form 10-K”). The accounting policies used in preparing these consolidated financial statements are the same as those described in the 2010 Form 10-K with the exception of new accounting pronouncements adopted in 2011. The results of operations for the interim periods presented are not necessarily indicative of results to be expected for any other interim period or for the year as a whole.</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Principles of Consolidation</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All intercompany transactions and balances have been eliminated in consolidation.</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Use of Estimates</w:t>
      </w:r>
    </w:p>
    <w:p>
      <w:pPr>
        <w:spacing w:after="0" w:line="90"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(“GAAP”) requires management to make estimates and assumptions. These estimates and assumptions affect the reported amounts of assets, liabilities, revenues, expenses and disclosures of contingent assets and liabilities. Actual results could differ materially from these estimates. Significant estimates include allowance for doubtful accounts receivable, provision for excess and obsolete inventory, valuation of intangible and long-lived assets, valuation of goodwill, valuation of contingent consideration, royalty costs, provision for warranty costs, income taxes and share-based compensation expense.</w:t>
      </w:r>
    </w:p>
    <w:p>
      <w:pPr>
        <w:spacing w:after="0" w:line="116"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Difficult global economic conditions, tight credit markets, volatile equity, foreign currency and energy markets and declines in consumer spending have combined to increase the uncertainty inherent in these estimates and assumptions. As future events and their effects cannot be determined with precision, particularly those related to the condition of the economy, actual results could differ significantly from these estimates.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New Accounting Pronouncements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In September 2011, the Financial Accounting Standards Board (FASB) issued Accounting Standards Update (ASU) No. 2011-08 </w:t>
      </w:r>
      <w:r>
        <w:rPr>
          <w:rFonts w:ascii="Arial" w:cs="Arial" w:eastAsia="Arial" w:hAnsi="Arial"/>
          <w:sz w:val="16"/>
          <w:szCs w:val="16"/>
          <w:i w:val="1"/>
          <w:iCs w:val="1"/>
          <w:color w:val="auto"/>
        </w:rPr>
        <w:t>“Intangibles-Goodwill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Other (Topic 350) — Testing Goodwill for Impairment.” </w:t>
      </w:r>
      <w:r>
        <w:rPr>
          <w:rFonts w:ascii="Arial" w:cs="Arial" w:eastAsia="Arial" w:hAnsi="Arial"/>
          <w:sz w:val="16"/>
          <w:szCs w:val="16"/>
          <w:color w:val="auto"/>
        </w:rPr>
        <w:t>ASU 2011-08 amends the previous guidance under Topic 350 which required an entity to test</w:t>
      </w:r>
      <w:r>
        <w:rPr>
          <w:rFonts w:ascii="Arial" w:cs="Arial" w:eastAsia="Arial" w:hAnsi="Arial"/>
          <w:sz w:val="16"/>
          <w:szCs w:val="16"/>
          <w:i w:val="1"/>
          <w:iCs w:val="1"/>
          <w:color w:val="auto"/>
        </w:rPr>
        <w:t xml:space="preserve"> </w:t>
      </w:r>
      <w:r>
        <w:rPr>
          <w:rFonts w:ascii="Arial" w:cs="Arial" w:eastAsia="Arial" w:hAnsi="Arial"/>
          <w:sz w:val="16"/>
          <w:szCs w:val="16"/>
          <w:color w:val="auto"/>
        </w:rPr>
        <w:t>goodwill for impairment, on at least an annual basis, by performing the two-step goodwill impairment test described in Topic 350. The amendments in ASU 2011-08 permit an entity to first assess qualitative factors to determine whether it is more likely than not that the fair value of a reporting unit is less than its carrying amount as a basis for determining whether it is necessary to perform the two-step goodwill impairment test. The more likely than not threshold is defined as having likelihood of more than 50 percent. ASU 2011-08 is effective for annual and interim goodwill impairment tests performed for fiscal years beginning after December 15, 2011. Early adoption is permitted, including for annual and interim goodwill impairment tests performed as of a date before September 15, 2011, if an entity’s financial statements for the most recent annual or interim period have not yet been issued. We are assessing the impact of ASU 2011-08 on our financial statement results.</w:t>
      </w:r>
    </w:p>
    <w:p>
      <w:pPr>
        <w:spacing w:after="0" w:line="12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 xml:space="preserve">In June 2011, the FASB issued ASU No. 2011-05 </w:t>
      </w:r>
      <w:r>
        <w:rPr>
          <w:rFonts w:ascii="Arial" w:cs="Arial" w:eastAsia="Arial" w:hAnsi="Arial"/>
          <w:sz w:val="18"/>
          <w:szCs w:val="18"/>
          <w:i w:val="1"/>
          <w:iCs w:val="1"/>
          <w:color w:val="auto"/>
        </w:rPr>
        <w:t>“Comprehensive Income (Topic 220) — Presentation of Comprehensive Income.”</w:t>
      </w:r>
      <w:r>
        <w:rPr>
          <w:rFonts w:ascii="Arial" w:cs="Arial" w:eastAsia="Arial" w:hAnsi="Arial"/>
          <w:sz w:val="18"/>
          <w:szCs w:val="18"/>
          <w:color w:val="auto"/>
        </w:rPr>
        <w:t xml:space="preserve"> ASU 2011-05 requires that all nonowner changes in stockholders’ equity be presented either in a single continuous statement of comprehensive income or in two separate but consecutive statements. In both choices, an entity is required to present each component of net income along with total net income, each component of other comprehensive income along with a total for other comprehensive income, and a total amount for comprehensive income. ASU 2011-05 is effective retrospectively for fiscal years, and interim periods within those years, beginning after December 15, 2011. We are assessing the impact of ASU 2011-05 on our comprehensive income presentation.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6" w:name="page7"/>
    <w:bookmarkEnd w:id="6"/>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Prior Period Adjustment</w:t>
      </w:r>
    </w:p>
    <w:p>
      <w:pPr>
        <w:spacing w:after="0" w:line="90"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In the third quarter of 2011, the Company identified errors in its consolidated financial statements for the year ended December 31, 2010 and for each of the quarterly periods ended March 31, 2011 and June 30, 2011. The errors were due to the amount of recorded goodwill in connection with the 2010 acquisition of Enfora, Inc. (“Enfora”). The errors were made in connection with the Company’s initial allocation of the consideration transferred in the acquisition where the Company understated goodwill and overstated acquired intangibles at the time of the acquisition by $1.7 million (see Notes 4 and 5) of this report.</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Company analyzed the potential impact of these items and concluded that while the accumulation of this error was significant to the three months ended September 30, 2011, the correction would not be material to any individual periods, taking in to account the requirements of the Securities and Exchange Commission (SEC) Staff Accounting Bulletin No. 108, Considering the Effects of Prior Year Misstatements when Quantifying Misstatements in Current Year Financial Statements (SAB 108). In accordance with the relevant guidance, management evaluated the materiality of the errors from a qualitative and quantitative perspective. Based on such evaluation, the Company concluded that correcting the cumulative error of $631,000 for the year ended December 31, 2010 is expected to be immaterial to the currently estimated full year results for 2011 and correcting the error did not have a material impact on any individual prior period financial statements or affect the trend of financial results. Accordingly, during the third quarter of 2011, the Company adjusted the carrying value of the Enfora intangibles by $1.7 million to reflect the proper allocation between goodwill and acquired intangibles and recorded cumulative adjustments of $439,000 in the statement of operations associated with the revised amortization of intangible assets and related income tax affects.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Merger and Acquisition Activities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Acquisition of Enfora</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On November 30, 2010, the Company completed the acquisition of Enfora, a provider of intelligent asset-management solutions utilizing wireless technology and machine-to-machine (M2M) communications. The acquisition of Enfora diversifies the Company’s customer base and product lines into adjacent markets and advances the Company’s strategy of providing intelligent devices to more end markets—enterprise, consumer and vertical applications.</w:t>
      </w:r>
    </w:p>
    <w:p>
      <w:pPr>
        <w:spacing w:after="0" w:line="107" w:lineRule="exact"/>
        <w:rPr>
          <w:sz w:val="20"/>
          <w:szCs w:val="20"/>
          <w:color w:val="auto"/>
        </w:rPr>
      </w:pPr>
    </w:p>
    <w:p>
      <w:pPr>
        <w:ind w:right="160" w:firstLine="456"/>
        <w:spacing w:after="0" w:line="323" w:lineRule="auto"/>
        <w:rPr>
          <w:sz w:val="20"/>
          <w:szCs w:val="20"/>
          <w:color w:val="auto"/>
        </w:rPr>
      </w:pPr>
      <w:r>
        <w:rPr>
          <w:rFonts w:ascii="Arial" w:cs="Arial" w:eastAsia="Arial" w:hAnsi="Arial"/>
          <w:sz w:val="15"/>
          <w:szCs w:val="15"/>
          <w:color w:val="auto"/>
        </w:rPr>
        <w:t>Enfora’s results of operations and estimated fair value of assets acquired and liabilities assumed are included in the Company’s consolidated financial statements from the date of acquisition. During the three months ended September 30, 2011, the Company completed its purchase price allocation related to the 2010 acquisition as discussed in Note 1. Also, during the third quarter of 2011, the Company made a $297,000 adjustment to increase Enfora net deferred tax assets, with a corresponding dollar amount decrease to goodwill, based on completed studies of available tax benefits existing as of the date of acquisition.</w:t>
      </w:r>
    </w:p>
    <w:p>
      <w:pPr>
        <w:spacing w:after="0" w:line="9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revenue and operating results contributed by Enfora during the three and nine months ended September 30, 2011 are disclosed in the Note 8 of this report.</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Actual and Pro Forma Results of Enfora Acquisition</w:t>
      </w:r>
    </w:p>
    <w:p>
      <w:pPr>
        <w:spacing w:after="0" w:line="90" w:lineRule="exact"/>
        <w:rPr>
          <w:sz w:val="20"/>
          <w:szCs w:val="20"/>
          <w:color w:val="auto"/>
        </w:rPr>
      </w:pPr>
    </w:p>
    <w:p>
      <w:pPr>
        <w:ind w:right="100" w:firstLine="456"/>
        <w:spacing w:after="0" w:line="312" w:lineRule="auto"/>
        <w:rPr>
          <w:sz w:val="20"/>
          <w:szCs w:val="20"/>
          <w:color w:val="auto"/>
        </w:rPr>
      </w:pPr>
      <w:r>
        <w:rPr>
          <w:rFonts w:ascii="Arial" w:cs="Arial" w:eastAsia="Arial" w:hAnsi="Arial"/>
          <w:sz w:val="15"/>
          <w:szCs w:val="15"/>
          <w:color w:val="auto"/>
        </w:rPr>
        <w:t>The following table presents the unaudited results for the three and nine months ended September 30, 2011 and pro forma financial information for the three and nine months ended September 30, 2010. The unaudited pro forma financial information for the three and nine months ended September 30, 2010 combines the results of operations of Novatel Wireless and Enfora as though the companies had been combined as of the beginning of fiscal 2009 as previously reported in the 2010 Form 10-K. The pro forma financial information is presented for informational purposes only. The pro forma financial information is not necessarily indicative of the results of operations that would have been achieved if the acquisition had taken place at the beginning of fiscal 2009. The following unaudited results and pro forma financial information presented include amortization charges for acquired intangible assets, inventory fair value adjustments, eliminations of intercompany transactions, adjustments to interest expense, reduction in share-based compensation and related tax effects (in thousands):</w:t>
      </w:r>
    </w:p>
    <w:p>
      <w:pPr>
        <w:spacing w:after="0" w:line="129"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90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8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8"/>
              </w:rPr>
              <w:t>Nine Months Ended</w:t>
            </w:r>
          </w:p>
        </w:tc>
      </w:tr>
      <w:tr>
        <w:trPr>
          <w:trHeight w:val="161"/>
        </w:trPr>
        <w:tc>
          <w:tcPr>
            <w:tcW w:w="2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90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8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7"/>
              </w:rPr>
              <w:t>September 30,</w:t>
            </w:r>
          </w:p>
        </w:tc>
      </w:tr>
      <w:tr>
        <w:trPr>
          <w:trHeight w:val="142"/>
        </w:trPr>
        <w:tc>
          <w:tcPr>
            <w:tcW w:w="25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60" w:type="dxa"/>
            <w:vAlign w:val="bottom"/>
            <w:tcBorders>
              <w:top w:val="single" w:sz="8" w:color="auto"/>
            </w:tcBorders>
          </w:tcPr>
          <w:p>
            <w:pPr>
              <w:jc w:val="right"/>
              <w:ind w:right="127"/>
              <w:spacing w:after="0" w:line="142" w:lineRule="exact"/>
              <w:rPr>
                <w:sz w:val="20"/>
                <w:szCs w:val="20"/>
                <w:color w:val="auto"/>
              </w:rPr>
            </w:pPr>
            <w:r>
              <w:rPr>
                <w:rFonts w:ascii="Arial" w:cs="Arial" w:eastAsia="Arial" w:hAnsi="Arial"/>
                <w:sz w:val="14"/>
                <w:szCs w:val="14"/>
                <w:b w:val="1"/>
                <w:bCs w:val="1"/>
                <w:color w:val="auto"/>
              </w:rPr>
              <w:t>2011</w:t>
            </w:r>
          </w:p>
        </w:tc>
        <w:tc>
          <w:tcPr>
            <w:tcW w:w="10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1"/>
                <w:szCs w:val="11"/>
                <w:b w:val="1"/>
                <w:bCs w:val="1"/>
                <w:color w:val="auto"/>
              </w:rPr>
              <w:t xml:space="preserve">2010 </w:t>
            </w:r>
            <w:r>
              <w:rPr>
                <w:rFonts w:ascii="Arial" w:cs="Arial" w:eastAsia="Arial" w:hAnsi="Arial"/>
                <w:sz w:val="16"/>
                <w:szCs w:val="16"/>
                <w:b w:val="1"/>
                <w:bCs w:val="1"/>
                <w:color w:val="auto"/>
                <w:vertAlign w:val="superscript"/>
              </w:rPr>
              <w:t>(1)</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Borders>
              <w:top w:val="single" w:sz="8" w:color="auto"/>
            </w:tcBorders>
          </w:tcPr>
          <w:p>
            <w:pPr>
              <w:jc w:val="right"/>
              <w:ind w:right="147"/>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ind w:left="300"/>
              <w:spacing w:after="0" w:line="142" w:lineRule="exact"/>
              <w:rPr>
                <w:sz w:val="20"/>
                <w:szCs w:val="20"/>
                <w:color w:val="auto"/>
              </w:rPr>
            </w:pPr>
            <w:r>
              <w:rPr>
                <w:rFonts w:ascii="Arial" w:cs="Arial" w:eastAsia="Arial" w:hAnsi="Arial"/>
                <w:sz w:val="11"/>
                <w:szCs w:val="11"/>
                <w:b w:val="1"/>
                <w:bCs w:val="1"/>
                <w:color w:val="auto"/>
              </w:rPr>
              <w:t xml:space="preserve">2010 </w:t>
            </w:r>
            <w:r>
              <w:rPr>
                <w:rFonts w:ascii="Arial" w:cs="Arial" w:eastAsia="Arial" w:hAnsi="Arial"/>
                <w:sz w:val="16"/>
                <w:szCs w:val="16"/>
                <w:b w:val="1"/>
                <w:bCs w:val="1"/>
                <w:color w:val="auto"/>
                <w:vertAlign w:val="superscript"/>
              </w:rPr>
              <w:t>(1)</w:t>
            </w:r>
          </w:p>
        </w:tc>
        <w:tc>
          <w:tcPr>
            <w:tcW w:w="120" w:type="dxa"/>
            <w:vAlign w:val="bottom"/>
          </w:tcPr>
          <w:p>
            <w:pPr>
              <w:spacing w:after="0"/>
              <w:rPr>
                <w:sz w:val="12"/>
                <w:szCs w:val="12"/>
                <w:color w:val="auto"/>
              </w:rPr>
            </w:pPr>
          </w:p>
        </w:tc>
      </w:tr>
      <w:tr>
        <w:trPr>
          <w:trHeight w:val="210"/>
        </w:trPr>
        <w:tc>
          <w:tcPr>
            <w:tcW w:w="2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revenue</w:t>
            </w:r>
          </w:p>
        </w:tc>
        <w:tc>
          <w:tcPr>
            <w:tcW w:w="1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$113,263</w:t>
            </w: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$90,827</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$293,068</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$266,118</w:t>
            </w:r>
          </w:p>
        </w:tc>
        <w:tc>
          <w:tcPr>
            <w:tcW w:w="120" w:type="dxa"/>
            <w:vAlign w:val="bottom"/>
            <w:tcBorders>
              <w:top w:val="single" w:sz="8" w:color="CCEEFF"/>
            </w:tcBorders>
            <w:shd w:val="clear" w:color="auto" w:fill="CCEEFF"/>
          </w:tcPr>
          <w:p>
            <w:pPr>
              <w:spacing w:after="0"/>
              <w:rPr>
                <w:sz w:val="18"/>
                <w:szCs w:val="18"/>
                <w:color w:val="auto"/>
              </w:rPr>
            </w:pPr>
          </w:p>
        </w:tc>
      </w:tr>
      <w:tr>
        <w:trPr>
          <w:trHeight w:val="222"/>
        </w:trPr>
        <w:tc>
          <w:tcPr>
            <w:tcW w:w="2520" w:type="dxa"/>
            <w:vAlign w:val="bottom"/>
          </w:tcPr>
          <w:p>
            <w:pPr>
              <w:spacing w:after="0"/>
              <w:rPr>
                <w:sz w:val="20"/>
                <w:szCs w:val="20"/>
                <w:color w:val="auto"/>
              </w:rPr>
            </w:pPr>
            <w:r>
              <w:rPr>
                <w:rFonts w:ascii="Arial" w:cs="Arial" w:eastAsia="Arial" w:hAnsi="Arial"/>
                <w:sz w:val="18"/>
                <w:szCs w:val="18"/>
                <w:color w:val="auto"/>
              </w:rPr>
              <w:t>Net income (loss)</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4,498</w:t>
            </w: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(9,225)</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(21,488)</w:t>
            </w:r>
          </w:p>
        </w:tc>
        <w:tc>
          <w:tcPr>
            <w:tcW w:w="960" w:type="dxa"/>
            <w:vAlign w:val="bottom"/>
            <w:gridSpan w:val="3"/>
          </w:tcPr>
          <w:p>
            <w:pPr>
              <w:ind w:left="300"/>
              <w:spacing w:after="0"/>
              <w:rPr>
                <w:sz w:val="20"/>
                <w:szCs w:val="20"/>
                <w:color w:val="auto"/>
              </w:rPr>
            </w:pPr>
            <w:r>
              <w:rPr>
                <w:rFonts w:ascii="Arial" w:cs="Arial" w:eastAsia="Arial" w:hAnsi="Arial"/>
                <w:sz w:val="18"/>
                <w:szCs w:val="18"/>
                <w:color w:val="auto"/>
                <w:w w:val="95"/>
              </w:rPr>
              <w:t>(23,847)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Pro forma results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80" w:right="279" w:bottom="1440" w:gutter="0" w:footer="0" w:header="0"/>
        </w:sectPr>
      </w:pPr>
    </w:p>
    <w:bookmarkStart w:id="7" w:name="page8"/>
    <w:bookmarkEnd w:id="7"/>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Enfora acquisition consideration</w:t>
      </w:r>
    </w:p>
    <w:p>
      <w:pPr>
        <w:spacing w:after="0" w:line="90"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Under the terms of the acquisition agreement, the Company paid cash consideration of $64.5 million and additional cash consideration of $13.0 million in exchange for an agreed upon amount of Enfora working capital. The Company also agreed to pay additional cash consideration (“contingent consideration”) of up to $6.0 million based on the operating results of Enfora for the 15 month period from October 1, 2010 to December 31, 2011. The estimated fair value of this contingent consideration at the acquisition date was $0.9 million, resulting in total estimated cash to be paid of $78.4 million. During the quarter ended March 31, 2011, the Company revised its estimate of contingent consideration to $0 and accordingly reflected this change as a benefit to general and administrative expenses for the quarter ended March 31, 2011. There were no changes in the fair value of the contingent consideration recorded in the three months ended September 30, 2011 as the Company continues to believe the operating results necessary to receive payment of the contingent consideration will not be achieved.</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Cinterion</w:t>
      </w:r>
    </w:p>
    <w:p>
      <w:pPr>
        <w:spacing w:after="0" w:line="9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In June 2010, the Company submitted a bid to purchase certain assets of Cinterion Wireless Modules (“Cinterion”), a company in the cellular machine-to-machine communications industry. The Company was not the successful bidder at the conclusion of the process on June 28, 2010.</w:t>
      </w:r>
    </w:p>
    <w:p>
      <w:pPr>
        <w:spacing w:after="0" w:line="8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June 2010, the Company borrowed $30.0 million, net of $2.2 million in lender fees, under a bridge loan facility in connection with its bid. In accordance with bidding procedures, during June 2010, the Company deposited into escrow an amount in Euros equal to its bid price using cash and cash equivalents, proceeds from the sale of marketable securities, and borrowings under the $30.0 million bridge loan facility. The escrowed funds are reflected as a deposit of restricted funds in the accompanying Consolidated Statement of Cash Flows for the nine months ended September 30, 2010. The escrowed funds were returned to the Company in July 2010.</w:t>
      </w:r>
    </w:p>
    <w:p>
      <w:pPr>
        <w:spacing w:after="0" w:line="143"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While the Company’s Euro funds were held in escrow, the Company engaged in hedging transactions to address foreign currency risk at a cost of $1.2 million, which amount was recorded in other income (expense), net, in the Consolidated Statement of Operations during the second quarter ended June 30, 2010.</w:t>
      </w:r>
    </w:p>
    <w:p>
      <w:pPr>
        <w:spacing w:after="0" w:line="6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During the second quarter ended June 30, 2010, the Company recorded a foreign currency gain of $2.9 million, which was recorded in other income (expense), net, in connection with the conversion of its Euro-denominated escrowed funds into U.S. dollars following completion of the auction on June 28, 2010.</w:t>
      </w:r>
    </w:p>
    <w:p>
      <w:pPr>
        <w:spacing w:after="0" w:line="8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Pursuant to authoritative accounting guidance, the $2.2 million in lender fees on the $30.0 million bridge loan facility were recorded as a discount to amounts outstanding under the facility and amortized over the stated term of the facility which was scheduled to mature on September 8, 2010. During June 2010, the Company also incurred $660,000 in professional fees attributable to the bridge facility, which were capitalized and amortized over the stated term of the facility. During the second quarter ended June 30, 2010, the Company recognized $687,000 in interest expense related to this facility, which primarily consisted of the amortization of lender and professional fees.</w:t>
      </w:r>
    </w:p>
    <w:p>
      <w:pPr>
        <w:spacing w:after="0" w:line="143"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In connection with its bid, the Company estimated that during the second quarter of 2010, it had incurred $2.0 million in legal, advisory and professional fees unrelated to the bridge loan facility, which were recorded as accrued expenses on the Consolidated Balance Sheet and classified as general and administrative expenses in the Consolidated Statement of Operations. During the third quarter of 2010, the Company reduced its estimate of professional fees by approximately $700,000 based upon information we received during the third quarter of 2010 that indicated the reduction to the original estimated liability was appropriate.</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July 2010, the Company repaid all amounts outstanding under the bridge loan facility.</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8" w:name="page9"/>
    <w:bookmarkEnd w:id="8"/>
    <w:p>
      <w:pPr>
        <w:ind w:left="460" w:right="9400" w:hanging="452"/>
        <w:spacing w:after="0" w:line="391" w:lineRule="auto"/>
        <w:tabs>
          <w:tab w:leader="none" w:pos="179"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Balance Sheet Details </w:t>
      </w:r>
      <w:r>
        <w:rPr>
          <w:rFonts w:ascii="Arial" w:cs="Arial" w:eastAsia="Arial" w:hAnsi="Arial"/>
          <w:sz w:val="16"/>
          <w:szCs w:val="16"/>
          <w:i w:val="1"/>
          <w:iCs w:val="1"/>
          <w:color w:val="auto"/>
        </w:rPr>
        <w:t>Marketable Securities</w:t>
      </w:r>
    </w:p>
    <w:p>
      <w:pPr>
        <w:ind w:left="460"/>
        <w:spacing w:after="0"/>
        <w:rPr>
          <w:rFonts w:ascii="Arial" w:cs="Arial" w:eastAsia="Arial" w:hAnsi="Arial"/>
          <w:sz w:val="16"/>
          <w:szCs w:val="16"/>
          <w:b w:val="1"/>
          <w:bCs w:val="1"/>
          <w:color w:val="auto"/>
        </w:rPr>
      </w:pPr>
      <w:r>
        <w:rPr>
          <w:rFonts w:ascii="Arial" w:cs="Arial" w:eastAsia="Arial" w:hAnsi="Arial"/>
          <w:sz w:val="18"/>
          <w:szCs w:val="18"/>
          <w:color w:val="auto"/>
        </w:rPr>
        <w:t>The Company’s portfolio of available-for-sale securities by contractual maturity consists of the following (in thousands):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78"/>
              </w:rPr>
              <w:t>Gross</w:t>
            </w:r>
          </w:p>
        </w:tc>
        <w:tc>
          <w:tcPr>
            <w:tcW w:w="120" w:type="dxa"/>
            <w:vAlign w:val="bottom"/>
          </w:tcPr>
          <w:p>
            <w:pPr>
              <w:spacing w:after="0"/>
              <w:rPr>
                <w:sz w:val="14"/>
                <w:szCs w:val="14"/>
                <w:color w:val="auto"/>
              </w:rPr>
            </w:pPr>
          </w:p>
        </w:tc>
        <w:tc>
          <w:tcPr>
            <w:tcW w:w="560" w:type="dxa"/>
            <w:vAlign w:val="bottom"/>
          </w:tcPr>
          <w:p>
            <w:pPr>
              <w:jc w:val="right"/>
              <w:ind w:right="96"/>
              <w:spacing w:after="0"/>
              <w:rPr>
                <w:sz w:val="20"/>
                <w:szCs w:val="20"/>
                <w:color w:val="auto"/>
              </w:rPr>
            </w:pPr>
            <w:r>
              <w:rPr>
                <w:rFonts w:ascii="Arial" w:cs="Arial" w:eastAsia="Arial" w:hAnsi="Arial"/>
                <w:sz w:val="14"/>
                <w:szCs w:val="14"/>
                <w:b w:val="1"/>
                <w:bCs w:val="1"/>
                <w:color w:val="auto"/>
                <w:w w:val="88"/>
              </w:rPr>
              <w:t>Gross</w:t>
            </w:r>
          </w:p>
        </w:tc>
        <w:tc>
          <w:tcPr>
            <w:tcW w:w="380" w:type="dxa"/>
            <w:vAlign w:val="bottom"/>
          </w:tcPr>
          <w:p>
            <w:pPr>
              <w:spacing w:after="0"/>
              <w:rPr>
                <w:sz w:val="14"/>
                <w:szCs w:val="14"/>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Estimated</w:t>
            </w:r>
          </w:p>
        </w:tc>
        <w:tc>
          <w:tcPr>
            <w:tcW w:w="0" w:type="dxa"/>
            <w:vAlign w:val="bottom"/>
          </w:tcPr>
          <w:p>
            <w:pPr>
              <w:spacing w:after="0"/>
              <w:rPr>
                <w:sz w:val="1"/>
                <w:szCs w:val="1"/>
                <w:color w:val="auto"/>
              </w:rPr>
            </w:pPr>
          </w:p>
        </w:tc>
      </w:tr>
      <w:tr>
        <w:trPr>
          <w:trHeight w:val="149"/>
        </w:trPr>
        <w:tc>
          <w:tcPr>
            <w:tcW w:w="6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September 30, 2011</w:t>
            </w:r>
          </w:p>
        </w:tc>
        <w:tc>
          <w:tcPr>
            <w:tcW w:w="10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9"/>
              </w:rPr>
              <w:t>Maturity</w:t>
            </w:r>
          </w:p>
        </w:tc>
        <w:tc>
          <w:tcPr>
            <w:tcW w:w="10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Amortized</w:t>
            </w:r>
          </w:p>
        </w:tc>
        <w:tc>
          <w:tcPr>
            <w:tcW w:w="10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Unrealized</w:t>
            </w: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0"/>
              </w:rPr>
              <w:t>Unrealized</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6460" w:type="dxa"/>
            <w:vAlign w:val="bottom"/>
            <w:gridSpan w:val="3"/>
            <w:vMerge w:val="continue"/>
          </w:tcPr>
          <w:p>
            <w:pPr>
              <w:spacing w:after="0"/>
              <w:rPr>
                <w:sz w:val="12"/>
                <w:szCs w:val="12"/>
                <w:color w:val="auto"/>
              </w:rPr>
            </w:pPr>
          </w:p>
        </w:tc>
        <w:tc>
          <w:tcPr>
            <w:tcW w:w="1020" w:type="dxa"/>
            <w:vAlign w:val="bottom"/>
            <w:gridSpan w:val="2"/>
          </w:tcPr>
          <w:p>
            <w:pPr>
              <w:jc w:val="center"/>
              <w:ind w:right="360"/>
              <w:spacing w:after="0" w:line="148" w:lineRule="exact"/>
              <w:rPr>
                <w:sz w:val="20"/>
                <w:szCs w:val="20"/>
                <w:color w:val="auto"/>
              </w:rPr>
            </w:pPr>
            <w:r>
              <w:rPr>
                <w:rFonts w:ascii="Arial" w:cs="Arial" w:eastAsia="Arial" w:hAnsi="Arial"/>
                <w:sz w:val="14"/>
                <w:szCs w:val="14"/>
                <w:b w:val="1"/>
                <w:bCs w:val="1"/>
                <w:color w:val="auto"/>
                <w:w w:val="84"/>
              </w:rPr>
              <w:t>in Years</w:t>
            </w:r>
          </w:p>
        </w:tc>
        <w:tc>
          <w:tcPr>
            <w:tcW w:w="160" w:type="dxa"/>
            <w:vAlign w:val="bottom"/>
          </w:tcPr>
          <w:p>
            <w:pPr>
              <w:spacing w:after="0"/>
              <w:rPr>
                <w:sz w:val="12"/>
                <w:szCs w:val="12"/>
                <w:color w:val="auto"/>
              </w:rPr>
            </w:pPr>
          </w:p>
        </w:tc>
        <w:tc>
          <w:tcPr>
            <w:tcW w:w="900" w:type="dxa"/>
            <w:vAlign w:val="bottom"/>
            <w:gridSpan w:val="2"/>
          </w:tcPr>
          <w:p>
            <w:pPr>
              <w:jc w:val="center"/>
              <w:ind w:right="520"/>
              <w:spacing w:after="0" w:line="148" w:lineRule="exact"/>
              <w:rPr>
                <w:sz w:val="20"/>
                <w:szCs w:val="20"/>
                <w:color w:val="auto"/>
              </w:rPr>
            </w:pPr>
            <w:r>
              <w:rPr>
                <w:rFonts w:ascii="Arial" w:cs="Arial" w:eastAsia="Arial" w:hAnsi="Arial"/>
                <w:sz w:val="14"/>
                <w:szCs w:val="14"/>
                <w:b w:val="1"/>
                <w:bCs w:val="1"/>
                <w:color w:val="auto"/>
                <w:w w:val="83"/>
              </w:rPr>
              <w:t>Cost</w:t>
            </w:r>
          </w:p>
        </w:tc>
        <w:tc>
          <w:tcPr>
            <w:tcW w:w="120" w:type="dxa"/>
            <w:vAlign w:val="bottom"/>
          </w:tcPr>
          <w:p>
            <w:pPr>
              <w:spacing w:after="0"/>
              <w:rPr>
                <w:sz w:val="12"/>
                <w:szCs w:val="12"/>
                <w:color w:val="auto"/>
              </w:rPr>
            </w:pPr>
          </w:p>
        </w:tc>
        <w:tc>
          <w:tcPr>
            <w:tcW w:w="940" w:type="dxa"/>
            <w:vAlign w:val="bottom"/>
            <w:gridSpan w:val="2"/>
          </w:tcPr>
          <w:p>
            <w:pPr>
              <w:jc w:val="center"/>
              <w:ind w:right="500"/>
              <w:spacing w:after="0" w:line="148" w:lineRule="exact"/>
              <w:rPr>
                <w:sz w:val="20"/>
                <w:szCs w:val="20"/>
                <w:color w:val="auto"/>
              </w:rPr>
            </w:pPr>
            <w:r>
              <w:rPr>
                <w:rFonts w:ascii="Arial" w:cs="Arial" w:eastAsia="Arial" w:hAnsi="Arial"/>
                <w:sz w:val="14"/>
                <w:szCs w:val="14"/>
                <w:b w:val="1"/>
                <w:bCs w:val="1"/>
                <w:color w:val="auto"/>
                <w:w w:val="74"/>
              </w:rPr>
              <w:t>Losses</w:t>
            </w:r>
          </w:p>
        </w:tc>
        <w:tc>
          <w:tcPr>
            <w:tcW w:w="120" w:type="dxa"/>
            <w:vAlign w:val="bottom"/>
          </w:tcPr>
          <w:p>
            <w:pPr>
              <w:spacing w:after="0"/>
              <w:rPr>
                <w:sz w:val="12"/>
                <w:szCs w:val="12"/>
                <w:color w:val="auto"/>
              </w:rPr>
            </w:pPr>
          </w:p>
        </w:tc>
        <w:tc>
          <w:tcPr>
            <w:tcW w:w="560" w:type="dxa"/>
            <w:vAlign w:val="bottom"/>
          </w:tcPr>
          <w:p>
            <w:pPr>
              <w:jc w:val="right"/>
              <w:ind w:right="96"/>
              <w:spacing w:after="0" w:line="148" w:lineRule="exact"/>
              <w:rPr>
                <w:sz w:val="20"/>
                <w:szCs w:val="20"/>
                <w:color w:val="auto"/>
              </w:rPr>
            </w:pPr>
            <w:r>
              <w:rPr>
                <w:rFonts w:ascii="Arial" w:cs="Arial" w:eastAsia="Arial" w:hAnsi="Arial"/>
                <w:sz w:val="14"/>
                <w:szCs w:val="14"/>
                <w:b w:val="1"/>
                <w:bCs w:val="1"/>
                <w:color w:val="auto"/>
                <w:w w:val="92"/>
              </w:rPr>
              <w:t>Gains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bottom w:val="single" w:sz="8" w:color="CCEEFF"/>
            </w:tcBorders>
            <w:shd w:val="clear" w:color="auto" w:fill="000000"/>
          </w:tcPr>
          <w:p>
            <w:pPr>
              <w:spacing w:after="0" w:line="20" w:lineRule="exact"/>
              <w:rPr>
                <w:sz w:val="1"/>
                <w:szCs w:val="1"/>
                <w:color w:val="auto"/>
              </w:rPr>
            </w:pPr>
          </w:p>
        </w:tc>
        <w:tc>
          <w:tcPr>
            <w:tcW w:w="5300" w:type="dxa"/>
            <w:vAlign w:val="bottom"/>
            <w:tcBorders>
              <w:left w:val="single" w:sz="8" w:color="auto"/>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4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Available-for-sale:</w:t>
            </w:r>
          </w:p>
        </w:tc>
        <w:tc>
          <w:tcPr>
            <w:tcW w:w="6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Corporate debentures / bonds</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1 or less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23,333</w:t>
            </w:r>
          </w:p>
        </w:tc>
        <w:tc>
          <w:tcPr>
            <w:tcW w:w="3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23,316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Municipal bonds</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 or less</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3,287</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Certificates of deposit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1 or less</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2,640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Government agency securities</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 or less</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4,106</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Marketable equity securities</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N/A</w:t>
            </w:r>
          </w:p>
        </w:tc>
        <w:tc>
          <w:tcPr>
            <w:tcW w:w="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short-term marketable securities</w:t>
            </w: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33,404</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33,391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460" w:type="dxa"/>
            <w:vAlign w:val="bottom"/>
            <w:gridSpan w:val="3"/>
          </w:tcPr>
          <w:p>
            <w:pPr>
              <w:spacing w:after="0"/>
              <w:rPr>
                <w:sz w:val="20"/>
                <w:szCs w:val="20"/>
                <w:color w:val="auto"/>
              </w:rPr>
            </w:pPr>
            <w:r>
              <w:rPr>
                <w:rFonts w:ascii="Arial" w:cs="Arial" w:eastAsia="Arial" w:hAnsi="Arial"/>
                <w:sz w:val="18"/>
                <w:szCs w:val="18"/>
                <w:color w:val="auto"/>
              </w:rPr>
              <w:t>Available-for-sale:</w:t>
            </w: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Government agency securities</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 to 2</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Muncipal bonds</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 to 2</w:t>
            </w:r>
          </w:p>
        </w:tc>
        <w:tc>
          <w:tcPr>
            <w:tcW w:w="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w:t>
            </w: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long-term marketable securities</w:t>
            </w: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42,525</w:t>
            </w:r>
          </w:p>
        </w:tc>
        <w:tc>
          <w:tcPr>
            <w:tcW w:w="3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42,492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78"/>
              </w:rPr>
              <w:t>Gross</w:t>
            </w:r>
          </w:p>
        </w:tc>
        <w:tc>
          <w:tcPr>
            <w:tcW w:w="120" w:type="dxa"/>
            <w:vAlign w:val="bottom"/>
          </w:tcPr>
          <w:p>
            <w:pPr>
              <w:spacing w:after="0"/>
              <w:rPr>
                <w:sz w:val="24"/>
                <w:szCs w:val="24"/>
                <w:color w:val="auto"/>
              </w:rPr>
            </w:pPr>
          </w:p>
        </w:tc>
        <w:tc>
          <w:tcPr>
            <w:tcW w:w="560" w:type="dxa"/>
            <w:vAlign w:val="bottom"/>
          </w:tcPr>
          <w:p>
            <w:pPr>
              <w:jc w:val="right"/>
              <w:ind w:right="96"/>
              <w:spacing w:after="0"/>
              <w:rPr>
                <w:sz w:val="20"/>
                <w:szCs w:val="20"/>
                <w:color w:val="auto"/>
              </w:rPr>
            </w:pPr>
            <w:r>
              <w:rPr>
                <w:rFonts w:ascii="Arial" w:cs="Arial" w:eastAsia="Arial" w:hAnsi="Arial"/>
                <w:sz w:val="14"/>
                <w:szCs w:val="14"/>
                <w:b w:val="1"/>
                <w:bCs w:val="1"/>
                <w:color w:val="auto"/>
                <w:w w:val="88"/>
              </w:rPr>
              <w:t>Gross</w:t>
            </w:r>
          </w:p>
        </w:tc>
        <w:tc>
          <w:tcPr>
            <w:tcW w:w="380" w:type="dxa"/>
            <w:vAlign w:val="bottom"/>
          </w:tcPr>
          <w:p>
            <w:pPr>
              <w:spacing w:after="0"/>
              <w:rPr>
                <w:sz w:val="24"/>
                <w:szCs w:val="24"/>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Estimated</w:t>
            </w:r>
          </w:p>
        </w:tc>
        <w:tc>
          <w:tcPr>
            <w:tcW w:w="0" w:type="dxa"/>
            <w:vAlign w:val="bottom"/>
          </w:tcPr>
          <w:p>
            <w:pPr>
              <w:spacing w:after="0"/>
              <w:rPr>
                <w:sz w:val="1"/>
                <w:szCs w:val="1"/>
                <w:color w:val="auto"/>
              </w:rPr>
            </w:pPr>
          </w:p>
        </w:tc>
      </w:tr>
      <w:tr>
        <w:trPr>
          <w:trHeight w:val="149"/>
        </w:trPr>
        <w:tc>
          <w:tcPr>
            <w:tcW w:w="6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 2010</w:t>
            </w:r>
          </w:p>
        </w:tc>
        <w:tc>
          <w:tcPr>
            <w:tcW w:w="10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9"/>
              </w:rPr>
              <w:t>Maturity</w:t>
            </w:r>
          </w:p>
        </w:tc>
        <w:tc>
          <w:tcPr>
            <w:tcW w:w="10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Amortized</w:t>
            </w:r>
          </w:p>
        </w:tc>
        <w:tc>
          <w:tcPr>
            <w:tcW w:w="10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Unrealized</w:t>
            </w: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0"/>
              </w:rPr>
              <w:t>Unrealized</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6460" w:type="dxa"/>
            <w:vAlign w:val="bottom"/>
            <w:gridSpan w:val="3"/>
            <w:vMerge w:val="continue"/>
          </w:tcPr>
          <w:p>
            <w:pPr>
              <w:spacing w:after="0"/>
              <w:rPr>
                <w:sz w:val="12"/>
                <w:szCs w:val="12"/>
                <w:color w:val="auto"/>
              </w:rPr>
            </w:pPr>
          </w:p>
        </w:tc>
        <w:tc>
          <w:tcPr>
            <w:tcW w:w="1020" w:type="dxa"/>
            <w:vAlign w:val="bottom"/>
            <w:gridSpan w:val="2"/>
          </w:tcPr>
          <w:p>
            <w:pPr>
              <w:jc w:val="center"/>
              <w:ind w:right="360"/>
              <w:spacing w:after="0" w:line="148" w:lineRule="exact"/>
              <w:rPr>
                <w:sz w:val="20"/>
                <w:szCs w:val="20"/>
                <w:color w:val="auto"/>
              </w:rPr>
            </w:pPr>
            <w:r>
              <w:rPr>
                <w:rFonts w:ascii="Arial" w:cs="Arial" w:eastAsia="Arial" w:hAnsi="Arial"/>
                <w:sz w:val="14"/>
                <w:szCs w:val="14"/>
                <w:b w:val="1"/>
                <w:bCs w:val="1"/>
                <w:color w:val="auto"/>
                <w:w w:val="84"/>
              </w:rPr>
              <w:t>in Years</w:t>
            </w:r>
          </w:p>
        </w:tc>
        <w:tc>
          <w:tcPr>
            <w:tcW w:w="160" w:type="dxa"/>
            <w:vAlign w:val="bottom"/>
          </w:tcPr>
          <w:p>
            <w:pPr>
              <w:spacing w:after="0"/>
              <w:rPr>
                <w:sz w:val="12"/>
                <w:szCs w:val="12"/>
                <w:color w:val="auto"/>
              </w:rPr>
            </w:pPr>
          </w:p>
        </w:tc>
        <w:tc>
          <w:tcPr>
            <w:tcW w:w="900" w:type="dxa"/>
            <w:vAlign w:val="bottom"/>
            <w:gridSpan w:val="2"/>
          </w:tcPr>
          <w:p>
            <w:pPr>
              <w:jc w:val="center"/>
              <w:ind w:right="520"/>
              <w:spacing w:after="0" w:line="148" w:lineRule="exact"/>
              <w:rPr>
                <w:sz w:val="20"/>
                <w:szCs w:val="20"/>
                <w:color w:val="auto"/>
              </w:rPr>
            </w:pPr>
            <w:r>
              <w:rPr>
                <w:rFonts w:ascii="Arial" w:cs="Arial" w:eastAsia="Arial" w:hAnsi="Arial"/>
                <w:sz w:val="14"/>
                <w:szCs w:val="14"/>
                <w:b w:val="1"/>
                <w:bCs w:val="1"/>
                <w:color w:val="auto"/>
                <w:w w:val="83"/>
              </w:rPr>
              <w:t>Cost</w:t>
            </w:r>
          </w:p>
        </w:tc>
        <w:tc>
          <w:tcPr>
            <w:tcW w:w="120" w:type="dxa"/>
            <w:vAlign w:val="bottom"/>
          </w:tcPr>
          <w:p>
            <w:pPr>
              <w:spacing w:after="0"/>
              <w:rPr>
                <w:sz w:val="12"/>
                <w:szCs w:val="12"/>
                <w:color w:val="auto"/>
              </w:rPr>
            </w:pPr>
          </w:p>
        </w:tc>
        <w:tc>
          <w:tcPr>
            <w:tcW w:w="940" w:type="dxa"/>
            <w:vAlign w:val="bottom"/>
            <w:gridSpan w:val="2"/>
          </w:tcPr>
          <w:p>
            <w:pPr>
              <w:jc w:val="center"/>
              <w:ind w:right="500"/>
              <w:spacing w:after="0" w:line="148" w:lineRule="exact"/>
              <w:rPr>
                <w:sz w:val="20"/>
                <w:szCs w:val="20"/>
                <w:color w:val="auto"/>
              </w:rPr>
            </w:pPr>
            <w:r>
              <w:rPr>
                <w:rFonts w:ascii="Arial" w:cs="Arial" w:eastAsia="Arial" w:hAnsi="Arial"/>
                <w:sz w:val="14"/>
                <w:szCs w:val="14"/>
                <w:b w:val="1"/>
                <w:bCs w:val="1"/>
                <w:color w:val="auto"/>
                <w:w w:val="74"/>
              </w:rPr>
              <w:t>Losses</w:t>
            </w:r>
          </w:p>
        </w:tc>
        <w:tc>
          <w:tcPr>
            <w:tcW w:w="120" w:type="dxa"/>
            <w:vAlign w:val="bottom"/>
          </w:tcPr>
          <w:p>
            <w:pPr>
              <w:spacing w:after="0"/>
              <w:rPr>
                <w:sz w:val="12"/>
                <w:szCs w:val="12"/>
                <w:color w:val="auto"/>
              </w:rPr>
            </w:pPr>
          </w:p>
        </w:tc>
        <w:tc>
          <w:tcPr>
            <w:tcW w:w="560" w:type="dxa"/>
            <w:vAlign w:val="bottom"/>
          </w:tcPr>
          <w:p>
            <w:pPr>
              <w:jc w:val="right"/>
              <w:ind w:right="96"/>
              <w:spacing w:after="0" w:line="148" w:lineRule="exact"/>
              <w:rPr>
                <w:sz w:val="20"/>
                <w:szCs w:val="20"/>
                <w:color w:val="auto"/>
              </w:rPr>
            </w:pPr>
            <w:r>
              <w:rPr>
                <w:rFonts w:ascii="Arial" w:cs="Arial" w:eastAsia="Arial" w:hAnsi="Arial"/>
                <w:sz w:val="14"/>
                <w:szCs w:val="14"/>
                <w:b w:val="1"/>
                <w:bCs w:val="1"/>
                <w:color w:val="auto"/>
                <w:w w:val="92"/>
              </w:rPr>
              <w:t>Gains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bottom w:val="single" w:sz="8" w:color="CCEEFF"/>
            </w:tcBorders>
            <w:shd w:val="clear" w:color="auto" w:fill="000000"/>
          </w:tcPr>
          <w:p>
            <w:pPr>
              <w:spacing w:after="0" w:line="20" w:lineRule="exact"/>
              <w:rPr>
                <w:sz w:val="1"/>
                <w:szCs w:val="1"/>
                <w:color w:val="auto"/>
              </w:rPr>
            </w:pPr>
          </w:p>
        </w:tc>
        <w:tc>
          <w:tcPr>
            <w:tcW w:w="53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4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Available-for-sale:</w:t>
            </w:r>
          </w:p>
        </w:tc>
        <w:tc>
          <w:tcPr>
            <w:tcW w:w="6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Corporate debenture/bonds</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1 or less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33,356</w:t>
            </w:r>
          </w:p>
        </w:tc>
        <w:tc>
          <w:tcPr>
            <w:tcW w:w="3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31</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33,384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Municipal bonds</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 or less</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5,259</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Certificates of deposit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1 or less</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925</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Government agency securities</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 or less</w:t>
            </w: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20,207</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20,211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40" w:type="dxa"/>
            <w:vAlign w:val="bottom"/>
            <w:gridSpan w:val="2"/>
          </w:tcPr>
          <w:p>
            <w:pPr>
              <w:ind w:left="860"/>
              <w:spacing w:after="0"/>
              <w:rPr>
                <w:sz w:val="20"/>
                <w:szCs w:val="20"/>
                <w:color w:val="auto"/>
              </w:rPr>
            </w:pPr>
            <w:r>
              <w:rPr>
                <w:rFonts w:ascii="Arial" w:cs="Arial" w:eastAsia="Arial" w:hAnsi="Arial"/>
                <w:sz w:val="18"/>
                <w:szCs w:val="18"/>
                <w:color w:val="auto"/>
              </w:rPr>
              <w:t>Total short-term marketable securities</w:t>
            </w: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59,747</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59,775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Available-for-sale:</w:t>
            </w: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Corporate debenture/bonds</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 to 2</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8,808</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8,794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 to 2</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Government agency securities</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 to 2</w:t>
            </w:r>
          </w:p>
        </w:tc>
        <w:tc>
          <w:tcPr>
            <w:tcW w:w="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9,478</w:t>
            </w: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long-term marketable securities</w:t>
            </w: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20,683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20,676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80,430</w:t>
            </w:r>
          </w:p>
        </w:tc>
        <w:tc>
          <w:tcPr>
            <w:tcW w:w="3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42</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80,451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The Company’s available-for-sale securities are carried on the Consolidated Balance Sheet at fair market value with the related unrealized gains and losses included in accumulated other comprehensive (loss) income on the Consolidated Balance Sheet, which is a separate component of stockholders’ equity. Realized gains and losses on the sale of available-for-sale marketable securities are determined using the specific-identification method.</w:t>
      </w:r>
    </w:p>
    <w:p>
      <w:pPr>
        <w:spacing w:after="0" w:line="10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As of September 30, 2011, the Company had a net unrealized loss of $33,000 in accumulated other comprehensive (loss) income. The Company’s net unrealized loss is the result of market conditions affecting its fixed-income, debt and equity securities, which are included in accumulated other comprehensive (loss) income on the Consolidated Balance Sheet for the period then ended.</w:t>
      </w:r>
    </w:p>
    <w:p>
      <w:pPr>
        <w:spacing w:after="0" w:line="14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As of September 30, 2011, the Company’s investment portfolio included $385,000 of marketable equity securities at original cost, with a fair value of $38,000. These securities are currently traded on the Over the Counter Bulletin Board (OTCBB) and are not traded on major exchanges such as the New York Stock Exchange. During the three and nine months ended September 30, 2011, the Company recorded an other-than-temporary loss of $193,000 and $347,000, respectively, within other income (expense), net in the Consolidated Statement of Operations.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9" w:name="page10"/>
    <w:bookmarkEnd w:id="9"/>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Inventories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consist of the following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4"/>
          </w:tcPr>
          <w:p>
            <w:pPr>
              <w:spacing w:after="0"/>
              <w:rPr>
                <w:sz w:val="20"/>
                <w:szCs w:val="20"/>
                <w:color w:val="auto"/>
              </w:rPr>
            </w:pPr>
            <w:r>
              <w:rPr>
                <w:rFonts w:ascii="Arial" w:cs="Arial" w:eastAsia="Arial" w:hAnsi="Arial"/>
                <w:sz w:val="14"/>
                <w:szCs w:val="14"/>
                <w:b w:val="1"/>
                <w:bCs w:val="1"/>
                <w:color w:val="auto"/>
                <w:w w:val="83"/>
              </w:rPr>
              <w:t>September 30,</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5"/>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6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5"/>
          </w:tcPr>
          <w:p>
            <w:pPr>
              <w:jc w:val="right"/>
              <w:ind w:right="152"/>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Finished goods</w:t>
            </w:r>
          </w:p>
        </w:tc>
        <w:tc>
          <w:tcPr>
            <w:tcW w:w="5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43,259</w:t>
            </w:r>
          </w:p>
        </w:tc>
        <w:tc>
          <w:tcPr>
            <w:tcW w:w="5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36,764</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Raw materials and components</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5,890</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6,330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49,149</w:t>
            </w:r>
          </w:p>
        </w:tc>
        <w:tc>
          <w:tcPr>
            <w:tcW w:w="92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43,094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i w:val="1"/>
                <w:iCs w:val="1"/>
                <w:color w:val="auto"/>
              </w:rPr>
              <w:t>Accrued Expenses</w:t>
            </w: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674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740" w:type="dxa"/>
            <w:vAlign w:val="bottom"/>
          </w:tcPr>
          <w:p>
            <w:pPr>
              <w:spacing w:after="0"/>
              <w:rPr>
                <w:sz w:val="20"/>
                <w:szCs w:val="20"/>
                <w:color w:val="auto"/>
              </w:rPr>
            </w:pPr>
            <w:r>
              <w:rPr>
                <w:rFonts w:ascii="Arial" w:cs="Arial" w:eastAsia="Arial" w:hAnsi="Arial"/>
                <w:sz w:val="18"/>
                <w:szCs w:val="18"/>
                <w:color w:val="auto"/>
              </w:rPr>
              <w:t>Accrued expenses consist of the following (in thousands):</w:t>
            </w: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6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gridSpan w:val="4"/>
          </w:tcPr>
          <w:p>
            <w:pPr>
              <w:spacing w:after="0"/>
              <w:rPr>
                <w:sz w:val="20"/>
                <w:szCs w:val="20"/>
                <w:color w:val="auto"/>
              </w:rPr>
            </w:pPr>
            <w:r>
              <w:rPr>
                <w:rFonts w:ascii="Arial" w:cs="Arial" w:eastAsia="Arial" w:hAnsi="Arial"/>
                <w:sz w:val="14"/>
                <w:szCs w:val="14"/>
                <w:b w:val="1"/>
                <w:bCs w:val="1"/>
                <w:color w:val="auto"/>
                <w:w w:val="83"/>
              </w:rPr>
              <w:t>September 30,</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gridSpan w:val="5"/>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6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5"/>
          </w:tcPr>
          <w:p>
            <w:pPr>
              <w:jc w:val="right"/>
              <w:ind w:right="152"/>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Royalties</w:t>
            </w:r>
          </w:p>
        </w:tc>
        <w:tc>
          <w:tcPr>
            <w:tcW w:w="5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6,201</w:t>
            </w:r>
          </w:p>
        </w:tc>
        <w:tc>
          <w:tcPr>
            <w:tcW w:w="5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6,461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Payroll and related expenses</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6,985</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5,704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Product warranty</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Market development fund and price protection</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1,646</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1,452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Professional fees</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910</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1,103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9,048</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7,959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27,618</w:t>
            </w:r>
          </w:p>
        </w:tc>
        <w:tc>
          <w:tcPr>
            <w:tcW w:w="920" w:type="dxa"/>
            <w:vAlign w:val="bottom"/>
            <w:gridSpan w:val="3"/>
          </w:tcPr>
          <w:p>
            <w:pPr>
              <w:ind w:left="760"/>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26,050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i w:val="1"/>
                <w:iCs w:val="1"/>
                <w:color w:val="auto"/>
              </w:rPr>
              <w:t>Accrued Warranty Obligations</w:t>
            </w: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74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740" w:type="dxa"/>
            <w:vAlign w:val="bottom"/>
          </w:tcPr>
          <w:p>
            <w:pPr>
              <w:spacing w:after="0"/>
              <w:rPr>
                <w:sz w:val="20"/>
                <w:szCs w:val="20"/>
                <w:color w:val="auto"/>
              </w:rPr>
            </w:pPr>
            <w:r>
              <w:rPr>
                <w:rFonts w:ascii="Arial" w:cs="Arial" w:eastAsia="Arial" w:hAnsi="Arial"/>
                <w:sz w:val="18"/>
                <w:szCs w:val="18"/>
                <w:color w:val="auto"/>
              </w:rPr>
              <w:t>Accrued warranty obligations consist of the following (in thousands):</w:t>
            </w: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6740" w:type="dxa"/>
            <w:vAlign w:val="bottom"/>
          </w:tcPr>
          <w:p>
            <w:pPr>
              <w:spacing w:after="0"/>
              <w:rPr>
                <w:sz w:val="24"/>
                <w:szCs w:val="24"/>
                <w:color w:val="auto"/>
              </w:rPr>
            </w:pPr>
          </w:p>
        </w:tc>
        <w:tc>
          <w:tcPr>
            <w:tcW w:w="160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w w:val="88"/>
              </w:rPr>
              <w:t>Three Months Ended</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gridSpan w:val="7"/>
          </w:tcPr>
          <w:p>
            <w:pPr>
              <w:jc w:val="right"/>
              <w:ind w:right="3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600" w:type="dxa"/>
            <w:vAlign w:val="bottom"/>
            <w:gridSpan w:val="6"/>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60" w:type="dxa"/>
            <w:vAlign w:val="bottom"/>
            <w:gridSpan w:val="7"/>
          </w:tcPr>
          <w:p>
            <w:pPr>
              <w:jc w:val="right"/>
              <w:ind w:right="500"/>
              <w:spacing w:after="0" w:line="14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1"/>
        </w:trPr>
        <w:tc>
          <w:tcPr>
            <w:tcW w:w="6740" w:type="dxa"/>
            <w:vAlign w:val="bottom"/>
          </w:tcPr>
          <w:p>
            <w:pPr>
              <w:spacing w:after="0"/>
              <w:rPr>
                <w:sz w:val="14"/>
                <w:szCs w:val="14"/>
                <w:color w:val="auto"/>
              </w:rPr>
            </w:pPr>
          </w:p>
        </w:tc>
        <w:tc>
          <w:tcPr>
            <w:tcW w:w="560" w:type="dxa"/>
            <w:vAlign w:val="bottom"/>
          </w:tcPr>
          <w:p>
            <w:pPr>
              <w:jc w:val="right"/>
              <w:ind w:right="61"/>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4"/>
                <w:szCs w:val="14"/>
                <w:color w:val="auto"/>
              </w:rPr>
            </w:pPr>
          </w:p>
        </w:tc>
        <w:tc>
          <w:tcPr>
            <w:tcW w:w="740" w:type="dxa"/>
            <w:vAlign w:val="bottom"/>
            <w:gridSpan w:val="3"/>
          </w:tcPr>
          <w:p>
            <w:pPr>
              <w:jc w:val="right"/>
              <w:ind w:right="62"/>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jc w:val="right"/>
              <w:ind w:right="81"/>
              <w:spacing w:after="0"/>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Warranty liability at beginning of period</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$ 1,709</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$ 2,467</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$ 2,279</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$ 3,039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440"/>
              <w:spacing w:after="0"/>
              <w:rPr>
                <w:sz w:val="20"/>
                <w:szCs w:val="20"/>
                <w:color w:val="auto"/>
              </w:rPr>
            </w:pPr>
            <w:r>
              <w:rPr>
                <w:rFonts w:ascii="Arial" w:cs="Arial" w:eastAsia="Arial" w:hAnsi="Arial"/>
                <w:sz w:val="18"/>
                <w:szCs w:val="18"/>
                <w:color w:val="auto"/>
              </w:rPr>
              <w:t>Additions charged to operations</w:t>
            </w:r>
          </w:p>
        </w:tc>
        <w:tc>
          <w:tcPr>
            <w:tcW w:w="560" w:type="dxa"/>
            <w:vAlign w:val="bottom"/>
          </w:tcPr>
          <w:p>
            <w:pPr>
              <w:jc w:val="right"/>
              <w:spacing w:after="0"/>
              <w:rPr>
                <w:sz w:val="20"/>
                <w:szCs w:val="20"/>
                <w:color w:val="auto"/>
              </w:rPr>
            </w:pPr>
            <w:r>
              <w:rPr>
                <w:rFonts w:ascii="Arial" w:cs="Arial" w:eastAsia="Arial" w:hAnsi="Arial"/>
                <w:sz w:val="18"/>
                <w:szCs w:val="18"/>
                <w:color w:val="auto"/>
              </w:rPr>
              <w:t>1,035</w:t>
            </w:r>
          </w:p>
        </w:tc>
        <w:tc>
          <w:tcPr>
            <w:tcW w:w="280" w:type="dxa"/>
            <w:vAlign w:val="bottom"/>
          </w:tcPr>
          <w:p>
            <w:pPr>
              <w:spacing w:after="0"/>
              <w:rPr>
                <w:sz w:val="18"/>
                <w:szCs w:val="18"/>
                <w:color w:val="auto"/>
              </w:rPr>
            </w:pPr>
          </w:p>
        </w:tc>
        <w:tc>
          <w:tcPr>
            <w:tcW w:w="760" w:type="dxa"/>
            <w:vAlign w:val="bottom"/>
            <w:gridSpan w:val="4"/>
          </w:tcPr>
          <w:p>
            <w:pPr>
              <w:jc w:val="right"/>
              <w:ind w:right="20"/>
              <w:spacing w:after="0"/>
              <w:rPr>
                <w:sz w:val="20"/>
                <w:szCs w:val="20"/>
                <w:color w:val="auto"/>
              </w:rPr>
            </w:pPr>
            <w:r>
              <w:rPr>
                <w:rFonts w:ascii="Arial" w:cs="Arial" w:eastAsia="Arial" w:hAnsi="Arial"/>
                <w:sz w:val="18"/>
                <w:szCs w:val="18"/>
                <w:color w:val="auto"/>
              </w:rPr>
              <w:t>262</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2,238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1,014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Deductions from liability</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(1,015)</w:t>
            </w:r>
          </w:p>
        </w:tc>
        <w:tc>
          <w:tcPr>
            <w:tcW w:w="1220" w:type="dxa"/>
            <w:vAlign w:val="bottom"/>
            <w:gridSpan w:val="5"/>
            <w:shd w:val="clear" w:color="auto" w:fill="CCEEFF"/>
          </w:tcPr>
          <w:p>
            <w:pPr>
              <w:jc w:val="right"/>
              <w:ind w:right="332"/>
              <w:spacing w:after="0"/>
              <w:rPr>
                <w:sz w:val="20"/>
                <w:szCs w:val="20"/>
                <w:color w:val="auto"/>
              </w:rPr>
            </w:pPr>
            <w:r>
              <w:rPr>
                <w:rFonts w:ascii="Arial" w:cs="Arial" w:eastAsia="Arial" w:hAnsi="Arial"/>
                <w:sz w:val="18"/>
                <w:szCs w:val="18"/>
                <w:color w:val="auto"/>
              </w:rPr>
              <w:t>(649)</w:t>
            </w:r>
          </w:p>
        </w:tc>
        <w:tc>
          <w:tcPr>
            <w:tcW w:w="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(2,788)</w:t>
            </w:r>
          </w:p>
        </w:tc>
        <w:tc>
          <w:tcPr>
            <w:tcW w:w="16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(1,973)</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color w:val="auto"/>
              </w:rPr>
              <w:t>Warranty liability at end of period</w:t>
            </w: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40" w:type="dxa"/>
            <w:vAlign w:val="bottom"/>
            <w:vMerge w:val="continue"/>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$ 1,729</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86"/>
              </w:rPr>
              <w:t>$ 2,080</w:t>
            </w:r>
          </w:p>
        </w:tc>
        <w:tc>
          <w:tcPr>
            <w:tcW w:w="2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$ 1,729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$ 2,080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 Company accrues warranty costs based on estimates of future warranty-related replacement, repairs or rework of products. The Company generally provides one to three years of coverage for products following the date of purchase and the Company accrues the estimated cost of warranty coverage as a component of cost of revenues in the Consolidated Statements of Operations at the time revenue is recognized. In estimating our future warranty obligations we consider various relevant factors, including the historical frequency and volume of qualifying claims, and the cost to replace or repair products under warranty.</w:t>
      </w:r>
    </w:p>
    <w:p>
      <w:pPr>
        <w:spacing w:after="0" w:line="8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240" w:top="280" w:right="41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 Intangible Assets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amortizable purchased intangible assets resulting from its acquisition of Enfora are composed of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88"/>
              </w:rPr>
              <w:t>September 30, 2011</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0"/>
              </w:rPr>
              <w:t>December 31, 2010</w:t>
            </w: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5"/>
              </w:rPr>
              <w:t>Purchase</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Price</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38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gridSpan w:val="3"/>
          </w:tcPr>
          <w:p>
            <w:pPr>
              <w:jc w:val="center"/>
              <w:ind w:right="180"/>
              <w:spacing w:after="0" w:line="115" w:lineRule="exact"/>
              <w:rPr>
                <w:sz w:val="20"/>
                <w:szCs w:val="20"/>
                <w:color w:val="auto"/>
              </w:rPr>
            </w:pPr>
            <w:r>
              <w:rPr>
                <w:rFonts w:ascii="Arial" w:cs="Arial" w:eastAsia="Arial" w:hAnsi="Arial"/>
                <w:sz w:val="12"/>
                <w:szCs w:val="12"/>
                <w:b w:val="1"/>
                <w:bCs w:val="1"/>
                <w:color w:val="auto"/>
              </w:rPr>
              <w:t>Adjustment</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3820" w:type="dxa"/>
            <w:vAlign w:val="bottom"/>
          </w:tcPr>
          <w:p>
            <w:pPr>
              <w:spacing w:after="0"/>
              <w:rPr>
                <w:sz w:val="14"/>
                <w:szCs w:val="14"/>
                <w:color w:val="auto"/>
              </w:rPr>
            </w:pPr>
          </w:p>
        </w:tc>
        <w:tc>
          <w:tcPr>
            <w:tcW w:w="580" w:type="dxa"/>
            <w:vAlign w:val="bottom"/>
          </w:tcPr>
          <w:p>
            <w:pPr>
              <w:jc w:val="right"/>
              <w:ind w:right="36"/>
              <w:spacing w:after="0"/>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5"/>
              </w:rPr>
              <w:t>(i)</w:t>
            </w:r>
          </w:p>
        </w:tc>
        <w:tc>
          <w:tcPr>
            <w:tcW w:w="16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Adjusted Gross</w:t>
            </w:r>
          </w:p>
        </w:tc>
        <w:tc>
          <w:tcPr>
            <w:tcW w:w="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580" w:type="dxa"/>
            <w:vAlign w:val="bottom"/>
          </w:tcPr>
          <w:p>
            <w:pPr>
              <w:jc w:val="right"/>
              <w:ind w:right="96"/>
              <w:spacing w:after="0"/>
              <w:rPr>
                <w:sz w:val="20"/>
                <w:szCs w:val="20"/>
                <w:color w:val="auto"/>
              </w:rPr>
            </w:pPr>
            <w:r>
              <w:rPr>
                <w:rFonts w:ascii="Arial" w:cs="Arial" w:eastAsia="Arial" w:hAnsi="Arial"/>
                <w:sz w:val="14"/>
                <w:szCs w:val="14"/>
                <w:b w:val="1"/>
                <w:bCs w:val="1"/>
                <w:color w:val="auto"/>
              </w:rPr>
              <w:t>Net</w:t>
            </w:r>
          </w:p>
        </w:tc>
        <w:tc>
          <w:tcPr>
            <w:tcW w:w="300" w:type="dxa"/>
            <w:vAlign w:val="bottom"/>
          </w:tcPr>
          <w:p>
            <w:pPr>
              <w:spacing w:after="0"/>
              <w:rPr>
                <w:sz w:val="14"/>
                <w:szCs w:val="14"/>
                <w:color w:val="auto"/>
              </w:rPr>
            </w:pPr>
          </w:p>
        </w:tc>
        <w:tc>
          <w:tcPr>
            <w:tcW w:w="640" w:type="dxa"/>
            <w:vAlign w:val="bottom"/>
            <w:gridSpan w:val="2"/>
          </w:tcPr>
          <w:p>
            <w:pPr>
              <w:ind w:left="120"/>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Pr>
          <w:p>
            <w:pPr>
              <w:spacing w:after="0"/>
              <w:rPr>
                <w:sz w:val="14"/>
                <w:szCs w:val="14"/>
                <w:color w:val="auto"/>
              </w:rPr>
            </w:pPr>
          </w:p>
        </w:tc>
        <w:tc>
          <w:tcPr>
            <w:tcW w:w="680" w:type="dxa"/>
            <w:vAlign w:val="bottom"/>
            <w:gridSpan w:val="2"/>
          </w:tcPr>
          <w:p>
            <w:pPr>
              <w:ind w:left="20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210"/>
        </w:trPr>
        <w:tc>
          <w:tcPr>
            <w:tcW w:w="3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Developed technology</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$29,200</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26,000</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73"/>
              </w:rPr>
              <w:t>(3,201)</w:t>
            </w: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$22,799</w:t>
            </w: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$29,200</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71"/>
              </w:rPr>
              <w:t>(371)</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$28,829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Trade name</w:t>
            </w:r>
          </w:p>
        </w:tc>
        <w:tc>
          <w:tcPr>
            <w:tcW w:w="580" w:type="dxa"/>
            <w:vAlign w:val="bottom"/>
          </w:tcPr>
          <w:p>
            <w:pPr>
              <w:jc w:val="right"/>
              <w:spacing w:after="0"/>
              <w:rPr>
                <w:sz w:val="20"/>
                <w:szCs w:val="20"/>
                <w:color w:val="auto"/>
              </w:rPr>
            </w:pPr>
            <w:r>
              <w:rPr>
                <w:rFonts w:ascii="Arial" w:cs="Arial" w:eastAsia="Arial" w:hAnsi="Arial"/>
                <w:sz w:val="18"/>
                <w:szCs w:val="18"/>
                <w:color w:val="auto"/>
              </w:rPr>
              <w:t>12,800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12,800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ind w:left="120"/>
              <w:spacing w:after="0"/>
              <w:rPr>
                <w:sz w:val="20"/>
                <w:szCs w:val="20"/>
                <w:color w:val="auto"/>
              </w:rPr>
            </w:pPr>
            <w:r>
              <w:rPr>
                <w:rFonts w:ascii="Arial" w:cs="Arial" w:eastAsia="Arial" w:hAnsi="Arial"/>
                <w:sz w:val="18"/>
                <w:szCs w:val="18"/>
                <w:color w:val="auto"/>
              </w:rPr>
              <w:t>(1,067)</w:t>
            </w:r>
          </w:p>
        </w:tc>
        <w:tc>
          <w:tcPr>
            <w:tcW w:w="580" w:type="dxa"/>
            <w:vAlign w:val="bottom"/>
          </w:tcPr>
          <w:p>
            <w:pPr>
              <w:jc w:val="right"/>
              <w:spacing w:after="0"/>
              <w:rPr>
                <w:sz w:val="20"/>
                <w:szCs w:val="20"/>
                <w:color w:val="auto"/>
              </w:rPr>
            </w:pPr>
            <w:r>
              <w:rPr>
                <w:rFonts w:ascii="Arial" w:cs="Arial" w:eastAsia="Arial" w:hAnsi="Arial"/>
                <w:sz w:val="18"/>
                <w:szCs w:val="18"/>
                <w:color w:val="auto"/>
              </w:rPr>
              <w:t>11,733</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12,800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ind w:left="180"/>
              <w:spacing w:after="0"/>
              <w:rPr>
                <w:sz w:val="20"/>
                <w:szCs w:val="20"/>
                <w:color w:val="auto"/>
              </w:rPr>
            </w:pPr>
            <w:r>
              <w:rPr>
                <w:rFonts w:ascii="Arial" w:cs="Arial" w:eastAsia="Arial" w:hAnsi="Arial"/>
                <w:sz w:val="18"/>
                <w:szCs w:val="18"/>
                <w:color w:val="auto"/>
              </w:rPr>
              <w:t>(107)</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12,693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(1,409)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2,220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(356)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w:cs="Arial" w:eastAsia="Arial" w:hAnsi="Arial"/>
                <w:sz w:val="18"/>
                <w:szCs w:val="18"/>
                <w:color w:val="auto"/>
              </w:rPr>
              <w:t>Total amortizable purchased intangible assets</w:t>
            </w: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2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44,220</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(1,700)</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42,520</w:t>
            </w: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120"/>
              <w:spacing w:after="0"/>
              <w:rPr>
                <w:sz w:val="20"/>
                <w:szCs w:val="20"/>
                <w:color w:val="auto"/>
              </w:rPr>
            </w:pPr>
            <w:r>
              <w:rPr>
                <w:rFonts w:ascii="Arial" w:cs="Arial" w:eastAsia="Arial" w:hAnsi="Arial"/>
                <w:sz w:val="18"/>
                <w:szCs w:val="18"/>
                <w:color w:val="auto"/>
              </w:rPr>
              <w:t>(5,677)</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36,843</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44,220</w:t>
            </w:r>
          </w:p>
        </w:tc>
        <w:tc>
          <w:tcPr>
            <w:tcW w:w="5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180"/>
              <w:spacing w:after="0"/>
              <w:rPr>
                <w:sz w:val="20"/>
                <w:szCs w:val="20"/>
                <w:color w:val="auto"/>
              </w:rPr>
            </w:pPr>
            <w:r>
              <w:rPr>
                <w:rFonts w:ascii="Arial" w:cs="Arial" w:eastAsia="Arial" w:hAnsi="Arial"/>
                <w:sz w:val="18"/>
                <w:szCs w:val="18"/>
                <w:color w:val="auto"/>
              </w:rPr>
              <w:t>(834)</w:t>
            </w:r>
          </w:p>
        </w:tc>
        <w:tc>
          <w:tcPr>
            <w:tcW w:w="64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43,386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140" w:hanging="452"/>
        <w:spacing w:after="0" w:line="256"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During the three months ended September 30, 2011, the Company corrected its purchase price allocations related to the 2010 Enfora acquisition (see Note 1). The net impact of the correction was a $1.7 million decrease to the purchased intangible assets and a corresponding increase to goodwill (see Note 5). Amortization expense for the third quarter of 2011 was reduced by $173,000 to correct for the impact to accumulated amortization resulting from the corrections to the purchased intangible assets.</w:t>
      </w:r>
    </w:p>
    <w:p>
      <w:pPr>
        <w:spacing w:after="0" w:line="14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following table presents details of the amortization of purchased intangible assets of Enfora included in the cost of net revenues and operating costs and expenses categories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w w:val="89"/>
              </w:rPr>
              <w:t>Three Months Ended</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Nine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132"/>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September 30,</w:t>
            </w: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122"/>
              <w:spacing w:after="0" w:line="142" w:lineRule="exact"/>
              <w:rPr>
                <w:sz w:val="20"/>
                <w:szCs w:val="20"/>
                <w:color w:val="auto"/>
              </w:rPr>
            </w:pPr>
            <w:r>
              <w:rPr>
                <w:rFonts w:ascii="Arial" w:cs="Arial" w:eastAsia="Arial" w:hAnsi="Arial"/>
                <w:sz w:val="14"/>
                <w:szCs w:val="14"/>
                <w:b w:val="1"/>
                <w:bCs w:val="1"/>
                <w:color w:val="auto"/>
              </w:rPr>
              <w:t>2011</w:t>
            </w:r>
          </w:p>
        </w:tc>
        <w:tc>
          <w:tcPr>
            <w:tcW w:w="8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82"/>
              <w:spacing w:after="0" w:line="142" w:lineRule="exact"/>
              <w:rPr>
                <w:sz w:val="20"/>
                <w:szCs w:val="20"/>
                <w:color w:val="auto"/>
              </w:rPr>
            </w:pPr>
            <w:r>
              <w:rPr>
                <w:rFonts w:ascii="Arial" w:cs="Arial" w:eastAsia="Arial" w:hAnsi="Arial"/>
                <w:sz w:val="14"/>
                <w:szCs w:val="14"/>
                <w:b w:val="1"/>
                <w:bCs w:val="1"/>
                <w:color w:val="auto"/>
                <w:w w:val="96"/>
              </w:rPr>
              <w:t>2011</w:t>
            </w:r>
          </w:p>
        </w:tc>
        <w:tc>
          <w:tcPr>
            <w:tcW w:w="240" w:type="dxa"/>
            <w:vAlign w:val="bottom"/>
          </w:tcPr>
          <w:p>
            <w:pPr>
              <w:spacing w:after="0"/>
              <w:rPr>
                <w:sz w:val="12"/>
                <w:szCs w:val="12"/>
                <w:color w:val="auto"/>
              </w:rPr>
            </w:pPr>
          </w:p>
        </w:tc>
        <w:tc>
          <w:tcPr>
            <w:tcW w:w="6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Cost of net revenues</w:t>
            </w:r>
          </w:p>
        </w:tc>
        <w:tc>
          <w:tcPr>
            <w:tcW w:w="2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4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0</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79"/>
              </w:rPr>
              <w:t>3,144</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644</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0</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ind w:left="100"/>
              <w:spacing w:after="0"/>
              <w:rPr>
                <w:sz w:val="20"/>
                <w:szCs w:val="20"/>
                <w:color w:val="auto"/>
              </w:rPr>
            </w:pPr>
            <w:r>
              <w:rPr>
                <w:rFonts w:ascii="Arial" w:cs="Arial" w:eastAsia="Arial" w:hAnsi="Arial"/>
                <w:sz w:val="18"/>
                <w:szCs w:val="18"/>
                <w:color w:val="auto"/>
              </w:rPr>
              <w:t>1,699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Total amortization expense</w:t>
            </w:r>
          </w:p>
        </w:tc>
        <w:tc>
          <w:tcPr>
            <w:tcW w:w="2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4,843</w:t>
            </w:r>
          </w:p>
        </w:tc>
        <w:tc>
          <w:tcPr>
            <w:tcW w:w="500" w:type="dxa"/>
            <w:vAlign w:val="bottom"/>
            <w:gridSpan w:val="2"/>
            <w:shd w:val="clear" w:color="auto" w:fill="CCEEFF"/>
          </w:tcPr>
          <w:p>
            <w:pPr>
              <w:jc w:val="right"/>
              <w:ind w:right="10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80" w:firstLine="456"/>
        <w:spacing w:after="0" w:line="268" w:lineRule="auto"/>
        <w:rPr>
          <w:sz w:val="20"/>
          <w:szCs w:val="20"/>
          <w:color w:val="auto"/>
        </w:rPr>
      </w:pPr>
      <w:r>
        <w:rPr>
          <w:rFonts w:ascii="Arial" w:cs="Arial" w:eastAsia="Arial" w:hAnsi="Arial"/>
          <w:sz w:val="18"/>
          <w:szCs w:val="18"/>
          <w:color w:val="auto"/>
        </w:rPr>
        <w:t>The following table presents details of the amortization of existing amortizable purchased intangible assets of Enfora that is currently estimated to be expensed in the remainder of 2011 and thereafter (in thousands):</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81"/>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Fiscal year:</w:t>
            </w:r>
          </w:p>
        </w:tc>
        <w:tc>
          <w:tcPr>
            <w:tcW w:w="6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r>
      <w:tr>
        <w:trPr>
          <w:trHeight w:val="203"/>
        </w:trPr>
        <w:tc>
          <w:tcPr>
            <w:tcW w:w="70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2011 (remaining 3 months)</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1,481</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2012</w:t>
            </w:r>
          </w:p>
        </w:tc>
        <w:tc>
          <w:tcPr>
            <w:tcW w:w="6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5,571</w:t>
            </w:r>
          </w:p>
        </w:tc>
        <w:tc>
          <w:tcPr>
            <w:tcW w:w="100" w:type="dxa"/>
            <w:vAlign w:val="bottom"/>
          </w:tcPr>
          <w:p>
            <w:pPr>
              <w:spacing w:after="0"/>
              <w:rPr>
                <w:sz w:val="18"/>
                <w:szCs w:val="18"/>
                <w:color w:val="auto"/>
              </w:rPr>
            </w:pPr>
          </w:p>
        </w:tc>
      </w:tr>
      <w:tr>
        <w:trPr>
          <w:trHeight w:val="216"/>
        </w:trPr>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6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5,333</w:t>
            </w:r>
          </w:p>
        </w:tc>
        <w:tc>
          <w:tcPr>
            <w:tcW w:w="100" w:type="dxa"/>
            <w:vAlign w:val="bottom"/>
            <w:shd w:val="clear" w:color="auto" w:fill="CCEEFF"/>
          </w:tcPr>
          <w:p>
            <w:pPr>
              <w:spacing w:after="0"/>
              <w:rPr>
                <w:sz w:val="18"/>
                <w:szCs w:val="18"/>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2014</w:t>
            </w:r>
          </w:p>
        </w:tc>
        <w:tc>
          <w:tcPr>
            <w:tcW w:w="6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5,333</w:t>
            </w:r>
          </w:p>
        </w:tc>
        <w:tc>
          <w:tcPr>
            <w:tcW w:w="100" w:type="dxa"/>
            <w:vAlign w:val="bottom"/>
          </w:tcPr>
          <w:p>
            <w:pPr>
              <w:spacing w:after="0"/>
              <w:rPr>
                <w:sz w:val="18"/>
                <w:szCs w:val="18"/>
                <w:color w:val="auto"/>
              </w:rPr>
            </w:pPr>
          </w:p>
        </w:tc>
      </w:tr>
      <w:tr>
        <w:trPr>
          <w:trHeight w:val="216"/>
        </w:trPr>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6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5,226</w:t>
            </w:r>
          </w:p>
        </w:tc>
        <w:tc>
          <w:tcPr>
            <w:tcW w:w="100" w:type="dxa"/>
            <w:vAlign w:val="bottom"/>
            <w:shd w:val="clear" w:color="auto" w:fill="CCEEFF"/>
          </w:tcPr>
          <w:p>
            <w:pPr>
              <w:spacing w:after="0"/>
              <w:rPr>
                <w:sz w:val="18"/>
                <w:szCs w:val="18"/>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2016</w:t>
            </w:r>
          </w:p>
        </w:tc>
        <w:tc>
          <w:tcPr>
            <w:tcW w:w="6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4,053</w:t>
            </w:r>
          </w:p>
        </w:tc>
        <w:tc>
          <w:tcPr>
            <w:tcW w:w="100" w:type="dxa"/>
            <w:vAlign w:val="bottom"/>
          </w:tcPr>
          <w:p>
            <w:pPr>
              <w:spacing w:after="0"/>
              <w:rPr>
                <w:sz w:val="18"/>
                <w:szCs w:val="18"/>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9,846</w:t>
            </w:r>
          </w:p>
        </w:tc>
        <w:tc>
          <w:tcPr>
            <w:tcW w:w="100" w:type="dxa"/>
            <w:vAlign w:val="bottom"/>
            <w:shd w:val="clear" w:color="auto" w:fill="CCEEFF"/>
          </w:tcPr>
          <w:p>
            <w:pPr>
              <w:spacing w:after="0"/>
              <w:rPr>
                <w:sz w:val="18"/>
                <w:szCs w:val="18"/>
                <w:color w:val="auto"/>
              </w:rPr>
            </w:pPr>
          </w:p>
        </w:tc>
      </w:tr>
      <w:tr>
        <w:trPr>
          <w:trHeight w:val="222"/>
        </w:trPr>
        <w:tc>
          <w:tcPr>
            <w:tcW w:w="7080" w:type="dxa"/>
            <w:vAlign w:val="bottom"/>
            <w:gridSpan w:val="2"/>
          </w:tcPr>
          <w:p>
            <w:pPr>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36,843</w:t>
            </w:r>
          </w:p>
        </w:tc>
        <w:tc>
          <w:tcPr>
            <w:tcW w:w="100" w:type="dxa"/>
            <w:vAlign w:val="bottom"/>
          </w:tcPr>
          <w:p>
            <w:pPr>
              <w:spacing w:after="0"/>
              <w:rPr>
                <w:sz w:val="19"/>
                <w:szCs w:val="19"/>
                <w:color w:val="auto"/>
              </w:rPr>
            </w:pPr>
          </w:p>
        </w:tc>
      </w:tr>
      <w:tr>
        <w:trPr>
          <w:trHeight w:val="20"/>
        </w:trPr>
        <w:tc>
          <w:tcPr>
            <w:tcW w:w="7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Additionally, at September 30, 2011 and December 31, 2010, the Company had $409,000 and $879,000, respectively, of acquired software licenses, net, representing rights to use certain software necessary for the development and commercial sale of the Company’s products.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 Goodwill</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changes in the carrying amount of goodwill for the nine months ended September 30, 2011, are as follows (in thousands):</w:t>
      </w:r>
    </w:p>
    <w:p>
      <w:pPr>
        <w:spacing w:after="0" w:line="24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6"/>
          </w:tcPr>
          <w:p>
            <w:pPr>
              <w:ind w:left="220"/>
              <w:spacing w:after="0"/>
              <w:rPr>
                <w:sz w:val="20"/>
                <w:szCs w:val="20"/>
                <w:color w:val="auto"/>
              </w:rPr>
            </w:pPr>
            <w:r>
              <w:rPr>
                <w:rFonts w:ascii="Arial" w:cs="Arial" w:eastAsia="Arial" w:hAnsi="Arial"/>
                <w:sz w:val="14"/>
                <w:szCs w:val="14"/>
                <w:b w:val="1"/>
                <w:bCs w:val="1"/>
                <w:color w:val="auto"/>
              </w:rPr>
              <w:t>M2M Products and</w:t>
            </w:r>
          </w:p>
        </w:tc>
      </w:tr>
      <w:tr>
        <w:trPr>
          <w:trHeight w:val="161"/>
        </w:trPr>
        <w:tc>
          <w:tcPr>
            <w:tcW w:w="8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right"/>
              <w:ind w:right="43"/>
              <w:spacing w:after="0"/>
              <w:rPr>
                <w:sz w:val="20"/>
                <w:szCs w:val="20"/>
                <w:color w:val="auto"/>
              </w:rPr>
            </w:pPr>
            <w:r>
              <w:rPr>
                <w:rFonts w:ascii="Arial" w:cs="Arial" w:eastAsia="Arial" w:hAnsi="Arial"/>
                <w:sz w:val="14"/>
                <w:szCs w:val="14"/>
                <w:b w:val="1"/>
                <w:bCs w:val="1"/>
                <w:color w:val="auto"/>
              </w:rPr>
              <w:t>Solutions</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5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8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January 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22,258</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Goodwill acquisition price correction (Note 1)</w:t>
            </w: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1,700</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 related adjustment due to goodwill correction</w:t>
            </w: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(612)</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Completion of deferred tax asset valuation (Note 2)</w:t>
            </w:r>
          </w:p>
        </w:tc>
        <w:tc>
          <w:tcPr>
            <w:tcW w:w="140" w:type="dxa"/>
            <w:vAlign w:val="bottom"/>
          </w:tcPr>
          <w:p>
            <w:pPr>
              <w:spacing w:after="0"/>
              <w:rPr>
                <w:sz w:val="18"/>
                <w:szCs w:val="18"/>
                <w:color w:val="auto"/>
              </w:rPr>
            </w:pPr>
          </w:p>
        </w:tc>
        <w:tc>
          <w:tcPr>
            <w:tcW w:w="1040" w:type="dxa"/>
            <w:vAlign w:val="bottom"/>
            <w:gridSpan w:val="3"/>
          </w:tcPr>
          <w:p>
            <w:pPr>
              <w:jc w:val="right"/>
              <w:ind w:right="440"/>
              <w:spacing w:after="0"/>
              <w:rPr>
                <w:sz w:val="20"/>
                <w:szCs w:val="20"/>
                <w:color w:val="auto"/>
              </w:rPr>
            </w:pPr>
            <w:r>
              <w:rPr>
                <w:rFonts w:ascii="Arial" w:cs="Arial" w:eastAsia="Arial" w:hAnsi="Arial"/>
                <w:sz w:val="18"/>
                <w:szCs w:val="18"/>
                <w:color w:val="auto"/>
              </w:rPr>
              <w:t>(297)</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 loss during the period</w:t>
            </w: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(3,514)</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r>
      <w:tr>
        <w:trPr>
          <w:trHeight w:val="222"/>
        </w:trPr>
        <w:tc>
          <w:tcPr>
            <w:tcW w:w="8560" w:type="dxa"/>
            <w:vAlign w:val="bottom"/>
          </w:tcPr>
          <w:p>
            <w:pPr>
              <w:spacing w:after="0"/>
              <w:rPr>
                <w:sz w:val="20"/>
                <w:szCs w:val="20"/>
                <w:color w:val="auto"/>
              </w:rPr>
            </w:pPr>
            <w:r>
              <w:rPr>
                <w:rFonts w:ascii="Arial" w:cs="Arial" w:eastAsia="Arial" w:hAnsi="Arial"/>
                <w:sz w:val="18"/>
                <w:szCs w:val="18"/>
                <w:color w:val="auto"/>
              </w:rPr>
              <w:t>Balance at September 30,</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19,535</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r>
      <w:tr>
        <w:trPr>
          <w:trHeight w:val="20"/>
        </w:trPr>
        <w:tc>
          <w:tcPr>
            <w:tcW w:w="8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 xml:space="preserve">The Company tests goodwill for impairment annually during the fourth quarter of each fiscal year. If an event occurs or circumstances change that would more likely than not reduce the fair value of a reporting unit below its carrying value, goodwill will be evaluated for impairment between annual tests. The impairment test involves a comparison of the fair value of its reporting unit as defined under ASC 350, </w:t>
      </w:r>
      <w:r>
        <w:rPr>
          <w:rFonts w:ascii="Arial" w:cs="Arial" w:eastAsia="Arial" w:hAnsi="Arial"/>
          <w:sz w:val="18"/>
          <w:szCs w:val="18"/>
          <w:i w:val="1"/>
          <w:iCs w:val="1"/>
          <w:color w:val="auto"/>
        </w:rPr>
        <w:t>Intangibles-Goodwill and Other</w:t>
      </w:r>
      <w:r>
        <w:rPr>
          <w:rFonts w:ascii="Arial" w:cs="Arial" w:eastAsia="Arial" w:hAnsi="Arial"/>
          <w:sz w:val="18"/>
          <w:szCs w:val="18"/>
          <w:color w:val="auto"/>
        </w:rPr>
        <w:t>, to carrying amounts. If the reporting unit’s aggregated carrying amount exceeds its fair value, then an indication exists that the reporting unit’s goodwill may be impaired. The impairment to be recognized is measured by the amount by which the carrying value of the reporting unit being measured exceeds its fair value, up to the total amount of its assets.</w:t>
      </w:r>
    </w:p>
    <w:p>
      <w:pPr>
        <w:spacing w:after="0" w:line="144"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During the third quarter of 2011, the Company experienced a sustained, significant decline in its stock price and based on actual and forecasted operating results of the M2M products and solutions reporting unit, the Company determined there were sufficient indicators of impairment present to require an interim impairment analysis.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Based upon fair value tests performed during the third quarter, the Company recorded a pre-tax non-cash impairment charge of $3.5 million in connection with the goodwill related to the M2M reporting unit. The fair value of the M2M reporting unit was estimated with the assistance of an independent third-party appraisal. As of November 9, 2011, the Company has not finalized its review of this impairment analysis due to the limited time period from the first indication of potential impairment to the date of this filing and the complexities involved in estimating the fair value of certain assets and liabilities. Any adjustment to that estimated charge resulting from the completion of the measurement of the impairment loss will be recognized in the fourth quarter of 2011.</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 of Assets and Liabilities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Company’s fair value measurements relate to its cash equivalents, marketable debt securities, and marketable equity securities, which are classified pursuant to authoritative guidance for fair value measurements. The Company places its cash equivalents and marketable debt securities in instruments that meet credit quality standards, as specified in its investment policy guidelines. These guidelines also limit the amount of credit exposure to any one issue, issuer or type of instrument.</w:t>
      </w:r>
    </w:p>
    <w:p>
      <w:pPr>
        <w:spacing w:after="0" w:line="14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Our financial instruments consist principally of cash and cash equivalents, short-term and long-term marketable securities, and short-term and long-term debt. The Company’s cash and cash equivalents consist of its investment in money market securities and treasury bills. The Company’s marketable securities consist primarily of government agency securities, municipal bonds, time deposits and investment-grade corporate bonds. From time to time, the Company may utilize foreign exchange forward contracts. These contracts are valued using pricing models that take into account the currency rates as of the balance sheet date (Level 2 of the fair value hierarchy).</w:t>
      </w:r>
    </w:p>
    <w:p>
      <w:pPr>
        <w:spacing w:after="0" w:line="14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Assets and liabilities measured at fair value are categorized based on whether or not the inputs are observable in the market and the degree that the inputs are observable. The categorization of financial instruments within the valuation hierarchy is based upon the lowest level of input that is significant to the fair value measurement. The hierarchy is prioritized into three levels (with Level 3 being the lowest) defined as follows:</w:t>
      </w:r>
    </w:p>
    <w:p>
      <w:pPr>
        <w:spacing w:after="0" w:line="10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Pricing inputs are based on quoted market prices for identical assets or liabilities in active markets (e.g., NYSE). Active markets are those in which</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transactions for the asset or liability occur in sufficient frequency and volume to provide pricing information on an ongoing basis.</w:t>
      </w:r>
    </w:p>
    <w:p>
      <w:pPr>
        <w:spacing w:after="0" w:line="8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Pricing inputs include benchmark yields, trade data, reported trades and broker dealer quotes, two-sided markets and industry &amp; economic events,</w:t>
      </w:r>
      <w:r>
        <w:rPr>
          <w:rFonts w:ascii="Arial" w:cs="Arial" w:eastAsia="Arial" w:hAnsi="Arial"/>
          <w:sz w:val="18"/>
          <w:szCs w:val="18"/>
          <w:i w:val="1"/>
          <w:iCs w:val="1"/>
          <w:color w:val="auto"/>
        </w:rPr>
        <w:t xml:space="preserve"> </w:t>
      </w:r>
      <w:r>
        <w:rPr>
          <w:rFonts w:ascii="Arial" w:cs="Arial" w:eastAsia="Arial" w:hAnsi="Arial"/>
          <w:sz w:val="18"/>
          <w:szCs w:val="18"/>
          <w:color w:val="auto"/>
        </w:rPr>
        <w:t>yield to maturity, Municipal Securities Rule Making Board reported trades and vendor trading platform</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2" w:name="page13"/>
    <w:bookmarkEnd w:id="12"/>
    <w:p>
      <w:pPr>
        <w:ind w:right="10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data. Level 2 includes those financial instruments that are valued using various pricing services and broker pricing information including Electronic Communication Networks and broker feeds.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Pricing inputs include significant inputs that are generally less observable from objective sources, including the Company’s own assumptions.</w:t>
      </w:r>
    </w:p>
    <w:p>
      <w:pPr>
        <w:spacing w:after="0" w:line="19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fair value of the majority of our cash and cash equivalents and marketable equity securities were determined based on Level 1 inputs. The fair value of our marketable debt securities was determined based on Level 2 inputs. We do not have any securities in the Level 3 category. The Company reviews the fair value hierarchy classification on a quarterly basis. Changes in the observability of valuation inputs may result in a reclassification of levels for certain securities within the fair value hierarchy.</w:t>
      </w:r>
    </w:p>
    <w:p>
      <w:pPr>
        <w:spacing w:after="0" w:line="14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table summarizes the Company’s financial instruments measured at fair value on a recurring basis in accordance with the authoritative guidance for fair value measurements as of September 30, 2011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36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September 30, 2011</w:t>
            </w:r>
          </w:p>
        </w:tc>
        <w:tc>
          <w:tcPr>
            <w:tcW w:w="2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4"/>
              </w:rPr>
              <w:t>Level 1</w:t>
            </w:r>
          </w:p>
        </w:tc>
        <w:tc>
          <w:tcPr>
            <w:tcW w:w="480" w:type="dxa"/>
            <w:vAlign w:val="bottom"/>
          </w:tcPr>
          <w:p>
            <w:pPr>
              <w:spacing w:after="0"/>
              <w:rPr>
                <w:sz w:val="15"/>
                <w:szCs w:val="15"/>
                <w:color w:val="auto"/>
              </w:rPr>
            </w:pPr>
          </w:p>
        </w:tc>
        <w:tc>
          <w:tcPr>
            <w:tcW w:w="1040" w:type="dxa"/>
            <w:vAlign w:val="bottom"/>
            <w:gridSpan w:val="3"/>
          </w:tcPr>
          <w:p>
            <w:pPr>
              <w:ind w:left="80"/>
              <w:spacing w:after="0"/>
              <w:rPr>
                <w:sz w:val="20"/>
                <w:szCs w:val="20"/>
                <w:color w:val="auto"/>
              </w:rPr>
            </w:pPr>
            <w:r>
              <w:rPr>
                <w:rFonts w:ascii="Arial" w:cs="Arial" w:eastAsia="Arial" w:hAnsi="Arial"/>
                <w:sz w:val="14"/>
                <w:szCs w:val="14"/>
                <w:b w:val="1"/>
                <w:bCs w:val="1"/>
                <w:color w:val="auto"/>
              </w:rPr>
              <w:t>Level 2</w:t>
            </w:r>
          </w:p>
        </w:tc>
        <w:tc>
          <w:tcPr>
            <w:tcW w:w="5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4"/>
              </w:rPr>
              <w:t>Level 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Assets:</w:t>
            </w:r>
          </w:p>
        </w:tc>
        <w:tc>
          <w:tcPr>
            <w:tcW w:w="66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funds</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$ 137</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40" w:type="dxa"/>
            <w:vAlign w:val="bottom"/>
          </w:tcPr>
          <w:p>
            <w:pPr>
              <w:ind w:left="160"/>
              <w:spacing w:after="0"/>
              <w:rPr>
                <w:sz w:val="20"/>
                <w:szCs w:val="20"/>
                <w:color w:val="auto"/>
              </w:rPr>
            </w:pPr>
            <w:r>
              <w:rPr>
                <w:rFonts w:ascii="Arial" w:cs="Arial" w:eastAsia="Arial" w:hAnsi="Arial"/>
                <w:sz w:val="18"/>
                <w:szCs w:val="18"/>
                <w:color w:val="auto"/>
              </w:rPr>
              <w:t>US Treasury notes</w:t>
            </w:r>
          </w:p>
        </w:tc>
        <w:tc>
          <w:tcPr>
            <w:tcW w:w="3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4,871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4,871</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66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cash equivalents</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5,008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4,871</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360" w:type="dxa"/>
            <w:vAlign w:val="bottom"/>
            <w:gridSpan w:val="3"/>
          </w:tcPr>
          <w:p>
            <w:pPr>
              <w:spacing w:after="0"/>
              <w:rPr>
                <w:sz w:val="20"/>
                <w:szCs w:val="20"/>
                <w:color w:val="auto"/>
              </w:rPr>
            </w:pPr>
            <w:r>
              <w:rPr>
                <w:rFonts w:ascii="Arial" w:cs="Arial" w:eastAsia="Arial" w:hAnsi="Arial"/>
                <w:sz w:val="18"/>
                <w:szCs w:val="18"/>
                <w:color w:val="auto"/>
              </w:rPr>
              <w:t>Short-term marketable securities:</w:t>
            </w:r>
          </w:p>
        </w:tc>
        <w:tc>
          <w:tcPr>
            <w:tcW w:w="3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Available-for-sale:</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40" w:type="dxa"/>
            <w:vAlign w:val="bottom"/>
          </w:tcPr>
          <w:p>
            <w:pPr>
              <w:ind w:left="160"/>
              <w:spacing w:after="0"/>
              <w:rPr>
                <w:sz w:val="20"/>
                <w:szCs w:val="20"/>
                <w:color w:val="auto"/>
              </w:rPr>
            </w:pPr>
            <w:r>
              <w:rPr>
                <w:rFonts w:ascii="Arial" w:cs="Arial" w:eastAsia="Arial" w:hAnsi="Arial"/>
                <w:sz w:val="18"/>
                <w:szCs w:val="18"/>
                <w:color w:val="auto"/>
              </w:rPr>
              <w:t>Corporate debentures / bonds</w:t>
            </w:r>
          </w:p>
        </w:tc>
        <w:tc>
          <w:tcPr>
            <w:tcW w:w="3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23,316</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23,316</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Muncipal bonds</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3,285</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3,285</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40" w:type="dxa"/>
            <w:vAlign w:val="bottom"/>
          </w:tcPr>
          <w:p>
            <w:pPr>
              <w:ind w:left="160"/>
              <w:spacing w:after="0"/>
              <w:rPr>
                <w:sz w:val="20"/>
                <w:szCs w:val="20"/>
                <w:color w:val="auto"/>
              </w:rPr>
            </w:pPr>
            <w:r>
              <w:rPr>
                <w:rFonts w:ascii="Arial" w:cs="Arial" w:eastAsia="Arial" w:hAnsi="Arial"/>
                <w:sz w:val="18"/>
                <w:szCs w:val="18"/>
                <w:color w:val="auto"/>
              </w:rPr>
              <w:t>Certificates of deposit</w:t>
            </w:r>
          </w:p>
        </w:tc>
        <w:tc>
          <w:tcPr>
            <w:tcW w:w="3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2,647</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2,647</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Government agency securities</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4,105</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4,105</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40" w:type="dxa"/>
            <w:vAlign w:val="bottom"/>
          </w:tcPr>
          <w:p>
            <w:pPr>
              <w:ind w:left="160"/>
              <w:spacing w:after="0"/>
              <w:rPr>
                <w:sz w:val="20"/>
                <w:szCs w:val="20"/>
                <w:color w:val="auto"/>
              </w:rPr>
            </w:pPr>
            <w:r>
              <w:rPr>
                <w:rFonts w:ascii="Arial" w:cs="Arial" w:eastAsia="Arial" w:hAnsi="Arial"/>
                <w:sz w:val="18"/>
                <w:szCs w:val="18"/>
                <w:color w:val="auto"/>
              </w:rPr>
              <w:t>Marketable equity securities</w:t>
            </w:r>
          </w:p>
        </w:tc>
        <w:tc>
          <w:tcPr>
            <w:tcW w:w="3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38</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66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short-term marketable securities</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33,391</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33,353</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360" w:type="dxa"/>
            <w:vAlign w:val="bottom"/>
            <w:gridSpan w:val="3"/>
          </w:tcPr>
          <w:p>
            <w:pPr>
              <w:spacing w:after="0"/>
              <w:rPr>
                <w:sz w:val="20"/>
                <w:szCs w:val="20"/>
                <w:color w:val="auto"/>
              </w:rPr>
            </w:pPr>
            <w:r>
              <w:rPr>
                <w:rFonts w:ascii="Arial" w:cs="Arial" w:eastAsia="Arial" w:hAnsi="Arial"/>
                <w:sz w:val="18"/>
                <w:szCs w:val="18"/>
                <w:color w:val="auto"/>
              </w:rPr>
              <w:t>Long-term marketable securities:</w:t>
            </w:r>
          </w:p>
        </w:tc>
        <w:tc>
          <w:tcPr>
            <w:tcW w:w="3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Available-for-sale:</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40" w:type="dxa"/>
            <w:vAlign w:val="bottom"/>
          </w:tcPr>
          <w:p>
            <w:pPr>
              <w:ind w:left="160"/>
              <w:spacing w:after="0"/>
              <w:rPr>
                <w:sz w:val="20"/>
                <w:szCs w:val="20"/>
                <w:color w:val="auto"/>
              </w:rPr>
            </w:pPr>
            <w:r>
              <w:rPr>
                <w:rFonts w:ascii="Arial" w:cs="Arial" w:eastAsia="Arial" w:hAnsi="Arial"/>
                <w:sz w:val="18"/>
                <w:szCs w:val="18"/>
                <w:color w:val="auto"/>
              </w:rPr>
              <w:t>Muncipal bonds</w:t>
            </w:r>
          </w:p>
        </w:tc>
        <w:tc>
          <w:tcPr>
            <w:tcW w:w="3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7,911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7,911</w:t>
            </w:r>
          </w:p>
        </w:tc>
        <w:tc>
          <w:tcPr>
            <w:tcW w:w="2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Government agency securities</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1,190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gridSpan w:val="3"/>
            <w:vMerge w:val="restart"/>
          </w:tcPr>
          <w:p>
            <w:pPr>
              <w:spacing w:after="0"/>
              <w:rPr>
                <w:sz w:val="20"/>
                <w:szCs w:val="20"/>
                <w:color w:val="auto"/>
              </w:rPr>
            </w:pPr>
            <w:r>
              <w:rPr>
                <w:rFonts w:ascii="Arial" w:cs="Arial" w:eastAsia="Arial" w:hAnsi="Arial"/>
                <w:sz w:val="18"/>
                <w:szCs w:val="18"/>
                <w:color w:val="auto"/>
              </w:rPr>
              <w:t>Total long-term marketable securities</w:t>
            </w: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60" w:type="dxa"/>
            <w:vAlign w:val="bottom"/>
            <w:gridSpan w:val="3"/>
            <w:vMerge w:val="continue"/>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9,101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9,101</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00" w:type="dxa"/>
            <w:vAlign w:val="bottom"/>
          </w:tcPr>
          <w:p>
            <w:pPr>
              <w:spacing w:after="0"/>
              <w:rPr>
                <w:sz w:val="10"/>
                <w:szCs w:val="10"/>
                <w:color w:val="auto"/>
              </w:rPr>
            </w:pPr>
          </w:p>
        </w:tc>
        <w:tc>
          <w:tcPr>
            <w:tcW w:w="664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financial assets</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47,500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47,325</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There were no transfers between Level 1 and Level 2 securities during the nine months ended September 30, 2011. All of our long-term marketable debt securities had maturities of between one and two years in duration at September 30, 2011.</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presents Level 3 activity for our contingent consideration liability for the nine months ended September 30, 2011 (in thousands):</w:t>
      </w:r>
    </w:p>
    <w:p>
      <w:pPr>
        <w:spacing w:after="0" w:line="230"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960" w:type="dxa"/>
            <w:vAlign w:val="bottom"/>
            <w:gridSpan w:val="3"/>
          </w:tcPr>
          <w:p>
            <w:pPr>
              <w:spacing w:after="0"/>
              <w:rPr>
                <w:sz w:val="20"/>
                <w:szCs w:val="20"/>
                <w:color w:val="auto"/>
              </w:rPr>
            </w:pPr>
            <w:r>
              <w:rPr>
                <w:rFonts w:ascii="Arial" w:cs="Arial" w:eastAsia="Arial" w:hAnsi="Arial"/>
                <w:sz w:val="14"/>
                <w:szCs w:val="14"/>
                <w:b w:val="1"/>
                <w:bCs w:val="1"/>
                <w:color w:val="auto"/>
              </w:rPr>
              <w:t>Contingent consideration liability</w:t>
            </w:r>
          </w:p>
        </w:tc>
        <w:tc>
          <w:tcPr>
            <w:tcW w:w="2800" w:type="dxa"/>
            <w:vAlign w:val="bottom"/>
            <w:gridSpan w:val="3"/>
          </w:tcPr>
          <w:p>
            <w:pPr>
              <w:ind w:left="2260"/>
              <w:spacing w:after="0"/>
              <w:rPr>
                <w:sz w:val="20"/>
                <w:szCs w:val="20"/>
                <w:color w:val="auto"/>
              </w:rPr>
            </w:pPr>
            <w:r>
              <w:rPr>
                <w:rFonts w:ascii="Arial" w:cs="Arial" w:eastAsia="Arial" w:hAnsi="Arial"/>
                <w:sz w:val="14"/>
                <w:szCs w:val="14"/>
                <w:b w:val="1"/>
                <w:bCs w:val="1"/>
                <w:color w:val="auto"/>
              </w:rPr>
              <w:t>Level 3</w:t>
            </w:r>
          </w:p>
        </w:tc>
      </w:tr>
      <w:tr>
        <w:trPr>
          <w:trHeight w:val="20"/>
        </w:trPr>
        <w:tc>
          <w:tcPr>
            <w:tcW w:w="20" w:type="dxa"/>
            <w:vAlign w:val="bottom"/>
          </w:tcPr>
          <w:p>
            <w:pPr>
              <w:spacing w:after="0" w:line="20" w:lineRule="exact"/>
              <w:rPr>
                <w:sz w:val="1"/>
                <w:szCs w:val="1"/>
                <w:color w:val="auto"/>
              </w:rPr>
            </w:pPr>
          </w:p>
        </w:tc>
        <w:tc>
          <w:tcPr>
            <w:tcW w:w="2040" w:type="dxa"/>
            <w:vAlign w:val="bottom"/>
            <w:tcBorders>
              <w:bottom w:val="single" w:sz="8" w:color="CCEEFF"/>
            </w:tcBorders>
            <w:shd w:val="clear" w:color="auto" w:fill="000000"/>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 at January 1, 2011</w:t>
            </w:r>
          </w:p>
        </w:tc>
        <w:tc>
          <w:tcPr>
            <w:tcW w:w="22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2"/>
              </w:rPr>
              <w:t>$(880)</w:t>
            </w:r>
          </w:p>
        </w:tc>
        <w:tc>
          <w:tcPr>
            <w:tcW w:w="120" w:type="dxa"/>
            <w:vAlign w:val="bottom"/>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Adjustments</w:t>
            </w:r>
          </w:p>
        </w:tc>
        <w:tc>
          <w:tcPr>
            <w:tcW w:w="228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at September 30, 2011</w:t>
            </w:r>
          </w:p>
        </w:tc>
        <w:tc>
          <w:tcPr>
            <w:tcW w:w="2800" w:type="dxa"/>
            <w:vAlign w:val="bottom"/>
            <w:gridSpan w:val="3"/>
            <w:shd w:val="clear" w:color="auto" w:fill="CCEEFF"/>
          </w:tcPr>
          <w:p>
            <w:pPr>
              <w:ind w:left="2260"/>
              <w:spacing w:after="0"/>
              <w:rPr>
                <w:sz w:val="20"/>
                <w:szCs w:val="20"/>
                <w:color w:val="auto"/>
              </w:rPr>
            </w:pPr>
            <w:r>
              <w:rPr>
                <w:rFonts w:ascii="Arial" w:cs="Arial" w:eastAsia="Arial" w:hAnsi="Arial"/>
                <w:sz w:val="18"/>
                <w:szCs w:val="18"/>
                <w:color w:val="auto"/>
              </w:rPr>
              <w:t>$ —</w:t>
            </w: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 of September 30, 2011, the Company had no outstanding foreign currency exchange forward contracts. On December 31, 2010, the Company recorded an unrealized loss of $8,000 on its outstanding foreign currency exchange forward contracts. These contracts were utilized to hedge the Company’s Euro-denominated cash and accounts receivable balances.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3" w:name="page14"/>
    <w:bookmarkEnd w:id="13"/>
    <w:p>
      <w:pPr>
        <w:ind w:right="52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During the three and nine months ended September 30, 2011, the Company recorded foreign currency losses on Euro-denominated foreign currency exchange forward contracts of approximately $0 and $19,000, respectively. During the same periods in 2010, the Company recorded losses on its foreign currency exchange forward contracts of approximately $857,000 and $498,000, respectively. All recorded gains and losses on foreign currency exchange transactions are recorded in other (income) expense.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Share-Based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included the following amounts for share-based compensation awards in the accompanying unaudited Consolidated Statements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Operations for the three and nine months ended September 30, 2011 and 2010 (in thousands):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88"/>
              </w:rPr>
              <w:t>Three Months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5"/>
          </w:tcPr>
          <w:p>
            <w:pPr>
              <w:ind w:left="2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7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5"/>
          </w:tcPr>
          <w:p>
            <w:pPr>
              <w:ind w:left="18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7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w w:val="89"/>
              </w:rPr>
              <w:t>2011</w:t>
            </w: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2010</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2011</w:t>
            </w: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529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545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1,337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1,687</w:t>
            </w:r>
          </w:p>
        </w:tc>
        <w:tc>
          <w:tcPr>
            <w:tcW w:w="10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0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566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585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1,447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1,697</w:t>
            </w:r>
          </w:p>
        </w:tc>
        <w:tc>
          <w:tcPr>
            <w:tcW w:w="100" w:type="dxa"/>
            <w:vAlign w:val="bottom"/>
          </w:tcPr>
          <w:p>
            <w:pPr>
              <w:spacing w:after="0"/>
              <w:rPr>
                <w:sz w:val="18"/>
                <w:szCs w:val="18"/>
                <w:color w:val="auto"/>
              </w:rPr>
            </w:pPr>
          </w:p>
        </w:tc>
      </w:tr>
      <w:tr>
        <w:trPr>
          <w:trHeight w:val="27"/>
        </w:trPr>
        <w:tc>
          <w:tcPr>
            <w:tcW w:w="7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1,571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1,552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4,057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4,695</w:t>
            </w:r>
          </w:p>
        </w:tc>
        <w:tc>
          <w:tcPr>
            <w:tcW w:w="100" w:type="dxa"/>
            <w:vAlign w:val="bottom"/>
            <w:shd w:val="clear" w:color="auto" w:fill="CCEEFF"/>
          </w:tcPr>
          <w:p>
            <w:pPr>
              <w:spacing w:after="0"/>
              <w:rPr>
                <w:sz w:val="18"/>
                <w:szCs w:val="18"/>
                <w:color w:val="auto"/>
              </w:rPr>
            </w:pPr>
          </w:p>
        </w:tc>
      </w:tr>
      <w:tr>
        <w:trPr>
          <w:trHeight w:val="20"/>
        </w:trPr>
        <w:tc>
          <w:tcPr>
            <w:tcW w:w="7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7500" w:hanging="452"/>
        <w:spacing w:after="0" w:line="347" w:lineRule="auto"/>
        <w:tabs>
          <w:tab w:leader="none" w:pos="179"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Segment Information and Concentrations of Risk </w:t>
      </w:r>
      <w:r>
        <w:rPr>
          <w:rFonts w:ascii="Arial" w:cs="Arial" w:eastAsia="Arial" w:hAnsi="Arial"/>
          <w:sz w:val="18"/>
          <w:szCs w:val="18"/>
          <w:i w:val="1"/>
          <w:iCs w:val="1"/>
          <w:color w:val="auto"/>
        </w:rPr>
        <w:t>Segment Information</w:t>
      </w:r>
    </w:p>
    <w:p>
      <w:pPr>
        <w:spacing w:after="0" w:line="2"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Company reports segment information based on the “management” approach. The management approach designates the internal reporting used by management for making decisions and assessing performance as the source of the Company’s reportable segments.</w:t>
      </w:r>
    </w:p>
    <w:p>
      <w:pPr>
        <w:spacing w:after="0" w:line="85"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Company operates in the wireless broadband technology industry and senior management makes decisions about allocating resources based on the following reportable segments:</w:t>
      </w:r>
    </w:p>
    <w:p>
      <w:pPr>
        <w:spacing w:after="0" w:line="51" w:lineRule="exact"/>
        <w:rPr>
          <w:sz w:val="20"/>
          <w:szCs w:val="20"/>
          <w:color w:val="auto"/>
        </w:rPr>
      </w:pPr>
    </w:p>
    <w:p>
      <w:pPr>
        <w:ind w:left="900" w:right="880" w:hanging="325"/>
        <w:spacing w:after="0" w:line="33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Mobile Computing Products segment—includes our MiFi products, USB and PC-card modems and Embedded Modules that enable data transmission and services via cellular wireless networks. All products within the segment represent a single product family.</w:t>
      </w:r>
    </w:p>
    <w:p>
      <w:pPr>
        <w:spacing w:after="0" w:line="4" w:lineRule="exact"/>
        <w:rPr>
          <w:rFonts w:ascii="Arial" w:cs="Arial" w:eastAsia="Arial" w:hAnsi="Arial"/>
          <w:sz w:val="16"/>
          <w:szCs w:val="16"/>
          <w:color w:val="auto"/>
        </w:rPr>
      </w:pPr>
    </w:p>
    <w:p>
      <w:pPr>
        <w:ind w:left="900" w:right="116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M2M Products and Solutions segment—includes our intelligent asset-management solutions utilizing wireless technology and M2M communications acquired with our acquisition of Enfora.</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Segment revenues and segment operating income (loss) represent the primary financial measures used by senior management to assess performance and include the net revenues, cost of net revenues, sales and operating costs and expenses for which management is held accountable. Segment expenses include sales and marketing, research and development, general and administrative, and amortization expenses that are directly related to individual segments. Segment operating income (loss) also includes acquisition-related costs, purchased intangible asset amortization, restructuring and integration costs.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80" w:right="279" w:bottom="1440" w:gutter="0" w:footer="0" w:header="0"/>
        </w:sectPr>
      </w:pPr>
    </w:p>
    <w:bookmarkStart w:id="14" w:name="page15"/>
    <w:bookmarkEnd w:id="1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table below presents net revenues, operating income (loss) and identifiable assets for our reportable segments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96"/>
              </w:rPr>
              <w:t>Three Months Ended</w:t>
            </w:r>
          </w:p>
        </w:tc>
        <w:tc>
          <w:tcPr>
            <w:tcW w:w="180" w:type="dxa"/>
            <w:vAlign w:val="bottom"/>
          </w:tcPr>
          <w:p>
            <w:pPr>
              <w:spacing w:after="0"/>
              <w:rPr>
                <w:sz w:val="14"/>
                <w:szCs w:val="14"/>
                <w:color w:val="auto"/>
              </w:rPr>
            </w:pPr>
          </w:p>
        </w:tc>
        <w:tc>
          <w:tcPr>
            <w:tcW w:w="18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8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Borders>
              <w:top w:val="single" w:sz="8" w:color="auto"/>
            </w:tcBorders>
          </w:tcPr>
          <w:p>
            <w:pPr>
              <w:jc w:val="right"/>
              <w:ind w:right="147"/>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3"/>
              </w:rPr>
              <w:t>Net revenues:</w:t>
            </w:r>
          </w:p>
        </w:tc>
        <w:tc>
          <w:tcPr>
            <w:tcW w:w="55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CCEEFF"/>
            </w:tcBorders>
            <w:shd w:val="clear" w:color="auto" w:fill="CCEEFF"/>
          </w:tcPr>
          <w:p>
            <w:pPr>
              <w:spacing w:after="0"/>
              <w:rPr>
                <w:sz w:val="15"/>
                <w:szCs w:val="15"/>
                <w:color w:val="auto"/>
              </w:rPr>
            </w:pPr>
          </w:p>
        </w:tc>
        <w:tc>
          <w:tcPr>
            <w:tcW w:w="420" w:type="dxa"/>
            <w:vAlign w:val="bottom"/>
            <w:tcBorders>
              <w:top w:val="single" w:sz="8" w:color="CCEEFF"/>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3"/>
          </w:tcPr>
          <w:p>
            <w:pPr>
              <w:spacing w:after="0"/>
              <w:rPr>
                <w:sz w:val="20"/>
                <w:szCs w:val="20"/>
                <w:color w:val="auto"/>
              </w:rPr>
            </w:pPr>
            <w:r>
              <w:rPr>
                <w:rFonts w:ascii="Arial" w:cs="Arial" w:eastAsia="Arial" w:hAnsi="Arial"/>
                <w:sz w:val="18"/>
                <w:szCs w:val="18"/>
                <w:color w:val="auto"/>
              </w:rPr>
              <w:t>Mobile Computing Products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102,691</w:t>
            </w:r>
          </w:p>
        </w:tc>
        <w:tc>
          <w:tcPr>
            <w:tcW w:w="4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$75,602</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$258,268</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$219,664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M2M Products and Solutions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10,572</w:t>
            </w:r>
          </w:p>
        </w:tc>
        <w:tc>
          <w:tcPr>
            <w:tcW w:w="4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80" w:type="dxa"/>
            <w:vAlign w:val="bottom"/>
            <w:gridSpan w:val="4"/>
          </w:tcPr>
          <w:p>
            <w:pPr>
              <w:spacing w:after="0"/>
              <w:rPr>
                <w:sz w:val="20"/>
                <w:szCs w:val="20"/>
                <w:color w:val="auto"/>
              </w:rPr>
            </w:pPr>
            <w:r>
              <w:rPr>
                <w:rFonts w:ascii="Arial" w:cs="Arial" w:eastAsia="Arial" w:hAnsi="Arial"/>
                <w:sz w:val="18"/>
                <w:szCs w:val="18"/>
                <w:color w:val="auto"/>
              </w:rPr>
              <w:t>Total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113,263</w:t>
            </w:r>
          </w:p>
        </w:tc>
        <w:tc>
          <w:tcPr>
            <w:tcW w:w="42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75,602</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293,068</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219,664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84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5"/>
              </w:rPr>
              <w:t>Operating income (loss):</w:t>
            </w:r>
          </w:p>
        </w:tc>
        <w:tc>
          <w:tcPr>
            <w:tcW w:w="47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3"/>
          </w:tcPr>
          <w:p>
            <w:pPr>
              <w:spacing w:after="0"/>
              <w:rPr>
                <w:sz w:val="20"/>
                <w:szCs w:val="20"/>
                <w:color w:val="auto"/>
              </w:rPr>
            </w:pPr>
            <w:r>
              <w:rPr>
                <w:rFonts w:ascii="Arial" w:cs="Arial" w:eastAsia="Arial" w:hAnsi="Arial"/>
                <w:sz w:val="18"/>
                <w:szCs w:val="18"/>
                <w:color w:val="auto"/>
              </w:rPr>
              <w:t>Mobile Computing Products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1,311</w:t>
            </w:r>
          </w:p>
        </w:tc>
        <w:tc>
          <w:tcPr>
            <w:tcW w:w="4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85"/>
              </w:rPr>
              <w:t>$ (6,382)</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 (14,359)</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 (19,086)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M2M Products and Solutions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(7,359)</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(16,860)</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6580" w:type="dxa"/>
            <w:vAlign w:val="bottom"/>
            <w:gridSpan w:val="4"/>
            <w:vMerge w:val="restart"/>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80" w:type="dxa"/>
            <w:vAlign w:val="bottom"/>
            <w:gridSpan w:val="4"/>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(6,048)</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85"/>
              </w:rPr>
              <w:t>$ (6,382)</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 (31,219)</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 (19,086)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3"/>
              </w:rPr>
              <w:t>September 30,</w:t>
            </w:r>
          </w:p>
        </w:tc>
        <w:tc>
          <w:tcPr>
            <w:tcW w:w="68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80" w:type="dxa"/>
            <w:vAlign w:val="bottom"/>
            <w:tcBorders>
              <w:bottom w:val="single" w:sz="8" w:color="CCEEFF"/>
            </w:tcBorders>
          </w:tcPr>
          <w:p>
            <w:pPr>
              <w:spacing w:after="0"/>
              <w:rPr>
                <w:sz w:val="14"/>
                <w:szCs w:val="14"/>
                <w:color w:val="auto"/>
              </w:rPr>
            </w:pPr>
          </w:p>
        </w:tc>
        <w:tc>
          <w:tcPr>
            <w:tcW w:w="67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2011</w:t>
            </w:r>
          </w:p>
        </w:tc>
        <w:tc>
          <w:tcPr>
            <w:tcW w:w="6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8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Identifiable assets:</w:t>
            </w: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80" w:type="dxa"/>
            <w:vAlign w:val="bottom"/>
            <w:tcBorders>
              <w:top w:val="single" w:sz="8" w:color="auto"/>
            </w:tcBorders>
            <w:shd w:val="clear" w:color="auto" w:fill="CCEEFF"/>
          </w:tcPr>
          <w:p>
            <w:pPr>
              <w:spacing w:after="0" w:line="20" w:lineRule="exact"/>
              <w:rPr>
                <w:sz w:val="1"/>
                <w:szCs w:val="1"/>
                <w:color w:val="auto"/>
              </w:rPr>
            </w:pPr>
          </w:p>
        </w:tc>
        <w:tc>
          <w:tcPr>
            <w:tcW w:w="6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gridSpan w:val="2"/>
          </w:tcPr>
          <w:p>
            <w:pPr>
              <w:spacing w:after="0"/>
              <w:rPr>
                <w:sz w:val="20"/>
                <w:szCs w:val="20"/>
                <w:color w:val="auto"/>
              </w:rPr>
            </w:pPr>
            <w:r>
              <w:rPr>
                <w:rFonts w:ascii="Arial" w:cs="Arial" w:eastAsia="Arial" w:hAnsi="Arial"/>
                <w:sz w:val="18"/>
                <w:szCs w:val="18"/>
                <w:color w:val="auto"/>
              </w:rPr>
              <w:t>Mobile Computing Products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177,590</w:t>
            </w:r>
          </w:p>
        </w:tc>
        <w:tc>
          <w:tcPr>
            <w:tcW w:w="8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217,445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M2M Products and Solutions</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73,636</w:t>
            </w:r>
          </w:p>
        </w:tc>
        <w:tc>
          <w:tcPr>
            <w:tcW w:w="6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100" w:type="dxa"/>
            <w:vAlign w:val="bottom"/>
            <w:gridSpan w:val="3"/>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251,226</w:t>
            </w:r>
          </w:p>
        </w:tc>
        <w:tc>
          <w:tcPr>
            <w:tcW w:w="8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302,108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has operations in the United States, Canada, Europe and Asia. The following table details the geographic concentration of the Company’s assets in the United States, Canada, Europe and Asia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3"/>
              </w:rPr>
              <w:t>September 30,</w:t>
            </w:r>
          </w:p>
        </w:tc>
        <w:tc>
          <w:tcPr>
            <w:tcW w:w="68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4520" w:type="dxa"/>
            <w:vAlign w:val="bottom"/>
            <w:tcBorders>
              <w:bottom w:val="single" w:sz="8" w:color="CCEEFF"/>
            </w:tcBorders>
          </w:tcPr>
          <w:p>
            <w:pPr>
              <w:spacing w:after="0"/>
              <w:rPr>
                <w:sz w:val="14"/>
                <w:szCs w:val="14"/>
                <w:color w:val="auto"/>
              </w:rPr>
            </w:pPr>
          </w:p>
        </w:tc>
        <w:tc>
          <w:tcPr>
            <w:tcW w:w="35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2011</w:t>
            </w:r>
          </w:p>
        </w:tc>
        <w:tc>
          <w:tcPr>
            <w:tcW w:w="6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210"/>
        </w:trPr>
        <w:tc>
          <w:tcPr>
            <w:tcW w:w="4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3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244,297</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293,227</w:t>
            </w:r>
          </w:p>
        </w:tc>
        <w:tc>
          <w:tcPr>
            <w:tcW w:w="10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Canada</w:t>
            </w: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5,929</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8,059</w:t>
            </w:r>
          </w:p>
        </w:tc>
        <w:tc>
          <w:tcPr>
            <w:tcW w:w="10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3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18"/>
                <w:szCs w:val="18"/>
                <w:color w:val="auto"/>
              </w:rPr>
            </w:pPr>
          </w:p>
        </w:tc>
      </w:tr>
      <w:tr>
        <w:trPr>
          <w:trHeight w:val="223"/>
        </w:trPr>
        <w:tc>
          <w:tcPr>
            <w:tcW w:w="4520" w:type="dxa"/>
            <w:vAlign w:val="bottom"/>
          </w:tcPr>
          <w:p>
            <w:pPr>
              <w:spacing w:after="0"/>
              <w:rPr>
                <w:sz w:val="20"/>
                <w:szCs w:val="20"/>
                <w:color w:val="auto"/>
              </w:rPr>
            </w:pPr>
            <w:r>
              <w:rPr>
                <w:rFonts w:ascii="Arial" w:cs="Arial" w:eastAsia="Arial" w:hAnsi="Arial"/>
                <w:sz w:val="18"/>
                <w:szCs w:val="18"/>
                <w:color w:val="auto"/>
              </w:rPr>
              <w:t>Asia</w:t>
            </w:r>
          </w:p>
        </w:tc>
        <w:tc>
          <w:tcPr>
            <w:tcW w:w="3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w:t>
            </w:r>
          </w:p>
        </w:tc>
        <w:tc>
          <w:tcPr>
            <w:tcW w:w="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19"/>
                <w:szCs w:val="19"/>
                <w:color w:val="auto"/>
              </w:rPr>
            </w:pPr>
          </w:p>
        </w:tc>
      </w:tr>
      <w:tr>
        <w:trPr>
          <w:trHeight w:val="216"/>
        </w:trPr>
        <w:tc>
          <w:tcPr>
            <w:tcW w:w="4520" w:type="dxa"/>
            <w:vAlign w:val="bottom"/>
            <w:shd w:val="clear" w:color="auto" w:fill="CCEEFF"/>
          </w:tcPr>
          <w:p>
            <w:pPr>
              <w:spacing w:after="0"/>
              <w:rPr>
                <w:sz w:val="18"/>
                <w:szCs w:val="18"/>
                <w:color w:val="auto"/>
              </w:rPr>
            </w:pPr>
          </w:p>
        </w:tc>
        <w:tc>
          <w:tcPr>
            <w:tcW w:w="3740" w:type="dxa"/>
            <w:vAlign w:val="bottom"/>
            <w:gridSpan w:val="2"/>
            <w:shd w:val="clear" w:color="auto" w:fill="CCEEFF"/>
          </w:tcPr>
          <w:p>
            <w:pPr>
              <w:ind w:left="35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251,226</w:t>
            </w:r>
          </w:p>
        </w:tc>
        <w:tc>
          <w:tcPr>
            <w:tcW w:w="8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302,108</w:t>
            </w:r>
          </w:p>
        </w:tc>
        <w:tc>
          <w:tcPr>
            <w:tcW w:w="100" w:type="dxa"/>
            <w:vAlign w:val="bottom"/>
            <w:shd w:val="clear" w:color="auto" w:fill="CCEEFF"/>
          </w:tcPr>
          <w:p>
            <w:pPr>
              <w:spacing w:after="0"/>
              <w:rPr>
                <w:sz w:val="18"/>
                <w:szCs w:val="18"/>
                <w:color w:val="auto"/>
              </w:rPr>
            </w:pPr>
          </w:p>
        </w:tc>
      </w:tr>
      <w:tr>
        <w:trPr>
          <w:trHeight w:val="20"/>
        </w:trPr>
        <w:tc>
          <w:tcPr>
            <w:tcW w:w="45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details the concentration of the Company’s net revenues by geographic region based on the ship to location:</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90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w w:val="94"/>
              </w:rPr>
              <w:t>Three Months ended</w:t>
            </w:r>
          </w:p>
        </w:tc>
        <w:tc>
          <w:tcPr>
            <w:tcW w:w="160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5"/>
              </w:rPr>
              <w:t>Nine Months ended</w:t>
            </w:r>
          </w:p>
        </w:tc>
        <w:tc>
          <w:tcPr>
            <w:tcW w:w="0" w:type="dxa"/>
            <w:vAlign w:val="bottom"/>
          </w:tcPr>
          <w:p>
            <w:pPr>
              <w:spacing w:after="0"/>
              <w:rPr>
                <w:sz w:val="1"/>
                <w:szCs w:val="1"/>
                <w:color w:val="auto"/>
              </w:rPr>
            </w:pPr>
          </w:p>
        </w:tc>
      </w:tr>
      <w:tr>
        <w:trPr>
          <w:trHeight w:val="161"/>
        </w:trPr>
        <w:tc>
          <w:tcPr>
            <w:tcW w:w="36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90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September 30,</w:t>
            </w:r>
          </w:p>
        </w:tc>
        <w:tc>
          <w:tcPr>
            <w:tcW w:w="160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3620" w:type="dxa"/>
            <w:vAlign w:val="bottom"/>
            <w:tcBorders>
              <w:bottom w:val="single" w:sz="8" w:color="CCEEFF"/>
            </w:tcBorders>
          </w:tcPr>
          <w:p>
            <w:pPr>
              <w:spacing w:after="0"/>
              <w:rPr>
                <w:sz w:val="12"/>
                <w:szCs w:val="12"/>
                <w:color w:val="auto"/>
              </w:rPr>
            </w:pPr>
          </w:p>
        </w:tc>
        <w:tc>
          <w:tcPr>
            <w:tcW w:w="338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21"/>
              <w:spacing w:after="0" w:line="142" w:lineRule="exact"/>
              <w:rPr>
                <w:sz w:val="20"/>
                <w:szCs w:val="20"/>
                <w:color w:val="auto"/>
              </w:rPr>
            </w:pPr>
            <w:r>
              <w:rPr>
                <w:rFonts w:ascii="Arial" w:cs="Arial" w:eastAsia="Arial" w:hAnsi="Arial"/>
                <w:sz w:val="14"/>
                <w:szCs w:val="14"/>
                <w:b w:val="1"/>
                <w:bCs w:val="1"/>
                <w:color w:val="auto"/>
              </w:rPr>
              <w:t>2011</w:t>
            </w:r>
          </w:p>
        </w:tc>
        <w:tc>
          <w:tcPr>
            <w:tcW w:w="48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North America</w:t>
            </w:r>
          </w:p>
        </w:tc>
        <w:tc>
          <w:tcPr>
            <w:tcW w:w="3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95.2%</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96.0%</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95.5%</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Europe / Middle East / Africa</w:t>
            </w:r>
          </w:p>
        </w:tc>
        <w:tc>
          <w:tcPr>
            <w:tcW w:w="386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4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w:t>
            </w:r>
          </w:p>
        </w:tc>
        <w:tc>
          <w:tcPr>
            <w:tcW w:w="46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4.3</w:t>
            </w:r>
          </w:p>
        </w:tc>
        <w:tc>
          <w:tcPr>
            <w:tcW w:w="460" w:type="dxa"/>
            <w:vAlign w:val="bottom"/>
          </w:tcPr>
          <w:p>
            <w:pPr>
              <w:jc w:val="right"/>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Asia / Australia</w:t>
            </w:r>
          </w:p>
        </w:tc>
        <w:tc>
          <w:tcPr>
            <w:tcW w:w="33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6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100.0%</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100.0%</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100.0%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3380" w:type="dxa"/>
            <w:vAlign w:val="bottom"/>
            <w:vMerge w:val="restart"/>
          </w:tcPr>
          <w:p>
            <w:pPr>
              <w:jc w:val="right"/>
              <w:ind w:right="1572"/>
              <w:spacing w:after="0"/>
              <w:rPr>
                <w:sz w:val="20"/>
                <w:szCs w:val="20"/>
                <w:color w:val="auto"/>
              </w:rPr>
            </w:pPr>
            <w:r>
              <w:rPr>
                <w:rFonts w:ascii="Arial" w:cs="Arial" w:eastAsia="Arial" w:hAnsi="Arial"/>
                <w:sz w:val="18"/>
                <w:szCs w:val="18"/>
                <w:color w:val="auto"/>
              </w:rPr>
              <w:t>15</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2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240" w:top="280" w:right="499" w:bottom="1440" w:gutter="0" w:footer="0" w:header="0"/>
        </w:sectPr>
      </w:pPr>
    </w:p>
    <w:bookmarkStart w:id="15" w:name="page16"/>
    <w:bookmarkEnd w:id="15"/>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Concentrations of Risk</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Substantially all of the Company’s net revenues are derived from sales of wireless access products. Any significant decline in market acceptance of the Company’s products or in the financial condition of the Company’s existing customers would have an adverse effect on the Company’s results of operations and financial condition.</w:t>
      </w:r>
    </w:p>
    <w:p>
      <w:pPr>
        <w:spacing w:after="0" w:line="14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 significant portion of the Company’s net revenues are derived from a small number of customers. For the three months ended September 30, 2011, sales to our two largest customers accounted for 49% and 11% of net revenues. In the same period in 2010, sales to our two largest customers accounted for 59% and 13% of net revenues. No other customers accounted for more than ten percent of total net revenues in the three months ended September 30, 2011 and 2010. For the nine months ended September 30, 2011, sales to our three largest customers accounted for 45%, 13%, and 10% of net revenues. In the same period in 2010, sales to our two largest customers accounted for 59% and 13% of net revenues. No other customers accounted for more than ten percent of total net revenues in the nine months ended September 30, 2011 and 2010.</w:t>
      </w:r>
    </w:p>
    <w:p>
      <w:pPr>
        <w:spacing w:after="0" w:line="12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Company currently outsources its manufacturing to four third-party contract manufacturers. If one or more of these manufacturers were to experience delays, disruptions, capacity constraints or quality control problems in manufacturing operations, product shipments to the Company’s customers could be delayed or its customers could consequently elect to cancel the underlying product purchase order, which would negatively impact the Company’s revenues and results of operations.</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Company contracts with a number of suppliers with operations in Thailand. Some of these suppliers have been unable to deliver sufficient quantities of components as a result of the effects of the major catastrophic flooding that began in July 2011 and still persist as of the date of this report. The Company’s M2M products are being impacted significantly by these component shortages. The shortages have limited the Company’s ability to deliver against sales opportunities, negatively impacting our results of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Earnings Per Share</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Basic earnings per share (“EPS”) excludes dilution and is computed by dividing net income (loss) attributable to common stockholders by the weighted-average number of common shares outstanding for the period. Diluted EPS reflects the potential dilution that could occur if securities or other contracts to issue common stock were exercised or converted into common stock using the treasury stock method. Potentially dilutive securities (consisting of options and restricted stock units (“RSUs”) and employee stock purchase plan (“ESPP”) withholdings using the treasury stock method) are excluded from the diluted EPS computation in loss periods and when the applicable exercise price is greater than the market price on the period end date as their effect would be anti-dilutive.</w:t>
      </w:r>
    </w:p>
    <w:p>
      <w:pPr>
        <w:spacing w:after="0" w:line="11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following table sets forth the computation of diluted weighted-average common and potential common shares outstanding for the three and nine months ended September 30, 2011 and 2010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16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9"/>
              </w:rPr>
              <w:t>Three Months Ended</w:t>
            </w:r>
          </w:p>
        </w:tc>
        <w:tc>
          <w:tcPr>
            <w:tcW w:w="14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7360" w:type="dxa"/>
            <w:vAlign w:val="bottom"/>
          </w:tcPr>
          <w:p>
            <w:pPr>
              <w:spacing w:after="0"/>
              <w:rPr>
                <w:sz w:val="14"/>
                <w:szCs w:val="14"/>
                <w:color w:val="auto"/>
              </w:rPr>
            </w:pPr>
          </w:p>
        </w:tc>
        <w:tc>
          <w:tcPr>
            <w:tcW w:w="16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5"/>
              </w:rPr>
              <w:t>September 30,</w:t>
            </w:r>
          </w:p>
        </w:tc>
        <w:tc>
          <w:tcPr>
            <w:tcW w:w="14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7360" w:type="dxa"/>
            <w:vAlign w:val="bottom"/>
          </w:tcPr>
          <w:p>
            <w:pPr>
              <w:spacing w:after="0"/>
              <w:rPr>
                <w:sz w:val="12"/>
                <w:szCs w:val="12"/>
                <w:color w:val="auto"/>
              </w:rPr>
            </w:pPr>
          </w:p>
        </w:tc>
        <w:tc>
          <w:tcPr>
            <w:tcW w:w="540" w:type="dxa"/>
            <w:vAlign w:val="bottom"/>
            <w:tcBorders>
              <w:top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rPr>
              <w:t>2011</w:t>
            </w:r>
          </w:p>
        </w:tc>
        <w:tc>
          <w:tcPr>
            <w:tcW w:w="84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2"/>
                <w:szCs w:val="12"/>
                <w:color w:val="auto"/>
              </w:rPr>
            </w:pPr>
          </w:p>
        </w:tc>
        <w:tc>
          <w:tcPr>
            <w:tcW w:w="540" w:type="dxa"/>
            <w:vAlign w:val="bottom"/>
            <w:tcBorders>
              <w:top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3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Basic weighted-average common shares outstanding</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32,057</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31,615</w:t>
            </w:r>
          </w:p>
        </w:tc>
        <w:tc>
          <w:tcPr>
            <w:tcW w:w="2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32,005</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31,414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Options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440"/>
              <w:spacing w:after="0"/>
              <w:rPr>
                <w:sz w:val="20"/>
                <w:szCs w:val="20"/>
                <w:color w:val="auto"/>
              </w:rPr>
            </w:pPr>
            <w:r>
              <w:rPr>
                <w:rFonts w:ascii="Arial" w:cs="Arial" w:eastAsia="Arial" w:hAnsi="Arial"/>
                <w:sz w:val="18"/>
                <w:szCs w:val="18"/>
                <w:color w:val="auto"/>
              </w:rPr>
              <w:t>Employee Stock Purchase Plan</w:t>
            </w:r>
          </w:p>
        </w:tc>
        <w:tc>
          <w:tcPr>
            <w:tcW w:w="540" w:type="dxa"/>
            <w:vAlign w:val="bottom"/>
          </w:tcPr>
          <w:p>
            <w:pPr>
              <w:jc w:val="right"/>
              <w:spacing w:after="0"/>
              <w:rPr>
                <w:sz w:val="20"/>
                <w:szCs w:val="20"/>
                <w:color w:val="auto"/>
              </w:rPr>
            </w:pPr>
            <w:r>
              <w:rPr>
                <w:rFonts w:ascii="Arial" w:cs="Arial" w:eastAsia="Arial" w:hAnsi="Arial"/>
                <w:sz w:val="18"/>
                <w:szCs w:val="18"/>
                <w:color w:val="auto"/>
              </w:rPr>
              <w:t>258</w:t>
            </w: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0</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c>
          <w:tcPr>
            <w:tcW w:w="54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Restricted Stock Units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vMerge w:val="restart"/>
          </w:tcPr>
          <w:p>
            <w:pPr>
              <w:spacing w:after="0"/>
              <w:rPr>
                <w:sz w:val="20"/>
                <w:szCs w:val="20"/>
                <w:color w:val="auto"/>
              </w:rPr>
            </w:pPr>
            <w:r>
              <w:rPr>
                <w:rFonts w:ascii="Arial" w:cs="Arial" w:eastAsia="Arial" w:hAnsi="Arial"/>
                <w:sz w:val="18"/>
                <w:szCs w:val="18"/>
                <w:color w:val="auto"/>
              </w:rPr>
              <w:t>Diluted weighted-average common and potential common shares outstanding</w:t>
            </w: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6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32,370</w:t>
            </w:r>
          </w:p>
        </w:tc>
        <w:tc>
          <w:tcPr>
            <w:tcW w:w="3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31,615</w:t>
            </w:r>
          </w:p>
        </w:tc>
        <w:tc>
          <w:tcPr>
            <w:tcW w:w="280" w:type="dxa"/>
            <w:vAlign w:val="bottom"/>
          </w:tcPr>
          <w:p>
            <w:pPr>
              <w:spacing w:after="0"/>
              <w:rPr>
                <w:sz w:val="19"/>
                <w:szCs w:val="19"/>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32,005</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31,414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During the three and nine months ended September 30, 2011, weighted-average options, RSUs and unissued ESPP shares to acquire a total of 5,718,527 and 4,657,850 shares of common stock, respectively, were outstanding but not included in the computation of diluted earnings per share as their effect was anti-dilutive.</w:t>
      </w:r>
    </w:p>
    <w:p>
      <w:pPr>
        <w:spacing w:after="0" w:line="14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During three and nine months ended September 30, 2010, weighted-average options, RSUs, and unissued ESPP shares to acquire a total of 4,554,343 and 4,445,049 shares of common stock, respectively, were outstanding but not included in the computation of diluted earnings per share as their effect was anti-dilutive.</w:t>
      </w:r>
    </w:p>
    <w:p>
      <w:pPr>
        <w:spacing w:after="0" w:line="215" w:lineRule="exact"/>
        <w:rPr>
          <w:sz w:val="20"/>
          <w:szCs w:val="20"/>
          <w:color w:val="auto"/>
        </w:rPr>
      </w:pPr>
    </w:p>
    <w:p>
      <w:pPr>
        <w:ind w:left="460" w:right="8660" w:hanging="452"/>
        <w:spacing w:after="0" w:line="391" w:lineRule="auto"/>
        <w:tabs>
          <w:tab w:leader="none" w:pos="267"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i w:val="1"/>
          <w:iCs w:val="1"/>
          <w:color w:val="auto"/>
        </w:rPr>
        <w:t>Legal Matters</w:t>
      </w:r>
    </w:p>
    <w:p>
      <w:pPr>
        <w:spacing w:after="0" w:line="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Company is, from time to time, party to various legal proceedings arising in the ordinary course of business. For example, the Company is currently named as a defendant or co-defendant in a number of patent infringement lawsuits in the U.S. and is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16" w:name="page17"/>
    <w:bookmarkEnd w:id="16"/>
    <w:p>
      <w:pPr>
        <w:jc w:val="both"/>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indirectly participating in other U.S. patent infringement actions pursuant to its contractual indemnification obligations to certain customers. Based on evaluation of these matters and discussions with Company’s counsel, the Company believes that liabilities arising from or sums paid in settlement of these existing matters would not have a material adverse effect on its consolidated results of operations or financial condition.</w:t>
      </w:r>
    </w:p>
    <w:p>
      <w:pPr>
        <w:spacing w:after="0" w:line="14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On September 15, 2008 and September 18, 2008, two putative securities class action lawsuits were filed in the United States District Court for the Southern District of California on behalf of persons who allegedly purchased our stock between February 5, 2007 and August 19, 2008. On December 11, 2008, these lawsuits were consolidated into a single action entitled </w:t>
      </w:r>
      <w:r>
        <w:rPr>
          <w:rFonts w:ascii="Arial" w:cs="Arial" w:eastAsia="Arial" w:hAnsi="Arial"/>
          <w:sz w:val="16"/>
          <w:szCs w:val="16"/>
          <w:i w:val="1"/>
          <w:iCs w:val="1"/>
          <w:color w:val="auto"/>
        </w:rPr>
        <w:t>Backe v. Novatel Wireless, Inc., et al.</w:t>
      </w:r>
      <w:r>
        <w:rPr>
          <w:rFonts w:ascii="Arial" w:cs="Arial" w:eastAsia="Arial" w:hAnsi="Arial"/>
          <w:sz w:val="16"/>
          <w:szCs w:val="16"/>
          <w:color w:val="auto"/>
        </w:rPr>
        <w:t xml:space="preserve">, Case No. 08-CV-01689-H (RBB) (Consolidated with Case No. 08-CV-01714-H (RBB)) (U.S.D.C., S.D. Cal.). In May 2010, the district court re-captioned the case </w:t>
      </w:r>
      <w:r>
        <w:rPr>
          <w:rFonts w:ascii="Arial" w:cs="Arial" w:eastAsia="Arial" w:hAnsi="Arial"/>
          <w:sz w:val="16"/>
          <w:szCs w:val="16"/>
          <w:i w:val="1"/>
          <w:iCs w:val="1"/>
          <w:color w:val="auto"/>
        </w:rPr>
        <w:t>In re Novatel Wireless Securities Litigation</w:t>
      </w:r>
      <w:r>
        <w:rPr>
          <w:rFonts w:ascii="Arial" w:cs="Arial" w:eastAsia="Arial" w:hAnsi="Arial"/>
          <w:sz w:val="16"/>
          <w:szCs w:val="16"/>
          <w:color w:val="auto"/>
        </w:rPr>
        <w:t>. The plaintiffs filed the consolidated complaint on behalf of persons who allegedly purchased our stock between February 27, 2007 and November 10, 2008. The consolidated complaint names the Company and certain of our current and former officers as defendants. The consolidated complaint alleges generally that we issued materially false and misleading statements during the relevant time period regarding the strength of our products and market share, our financial results and our internal controls. The plaintiffs are seeking an unspecified amount of damages and costs. The court has denied defendants’ motions to dismiss. In May 2010, the court entered an order granting the plaintiffs’ motion for class certification and certified a class of purchasers of Company common stock between February 27, 2007 and September 15, 2008. On February 14, 2011, following extensive discovery, the Company filed a motion for summary judgment on all of plaintiffs’ claims. A trial date had been set for May 10, 2011. On March 15, 2011, the case was reassigned to a new district judge, the Honorable Anthony J. Battaglia. Following the reassignment, the court vacated the trial date pending the court’s consideration of dispositive motions. Oral argument on the motion for summary judgment was heard by the court on June 17, 2011, after which the court took the matter under submission. The court has not yet issued a ruling on the motion. The Company intends to defend this litigation vigorously. We are unable at this time to estimate the effects of this lawsuit on our financial position, results of operations or cash flows.</w:t>
      </w:r>
    </w:p>
    <w:p>
      <w:pPr>
        <w:spacing w:after="0" w:line="12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On October 8, 2008, a purported shareholder, Jerry Rosenbaum, filed a derivative action in the Superior Court for the State of California, County of San Diego, against the Company, as nominal defendant, and certain of our current and former officers and directors, as defendants. Two other purported shareholders, Mark Campos and Chris Arnsdorf, separately filed substantially similar lawsuits in the same court on October 20, 2008 and November 5, 2008, respectively. On October 16, 2009, the plaintiffs filed a consolidated complaint. The consolidated complaint, Case No. 37-2008-00093576-CU-NP-CTL, alleges claims for breaches of fiduciary duties, violations of certain provisions of the California Corporations Code, unjust enrichment, and gross mismanagement. In February 2010, the court granted the defendants’ motion to stay the action pending the resolution of the federal securities class action described above. In July 2010, the parties executed a memorandum of understanding setting forth the terms to be included in a contemplated settlement. Any settlement would be subject to court approval. The memorandum of understanding does not contemplate any restitution from the defendants. Following execution of the memorandum of understanding, plaintiffs conducted certain confirmatory discovery and sought to negotiate an award of legal fees as part of the terms to be included in a stipulation of settlement. Plaintiffs have since purported to terminate the memorandum of understanding. On January 28, 2011, the court held an informal status conference, at which plaintiffs requested that the court lift the stay of the action. The court declined plaintiffs’ request. Following certain additional confirmatory discovery, the Company anticipates seeking to enforce the terms of the parties’ memorandum of understanding. At this time the Company is unable to estimate the amount of attorney’s fees that may be approved by the court.</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Indemnification</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the normal course of business, the Company periodically enters into agreements that require the Company to indemnify and defend its customers for, among other things, claims alleging that the Company’s products infringe third-party patents or other intellectual property rights. The Company’s maximum exposure under these indemnification provisions cannot be estimated but the Company does not believe that there are any matters individually or collectively that would have a material adverse effect on its financial condition.</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Credit Facility</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During July 2011, the Company entered into a credit facility with a bank to allow margin borrowings based on the Company’s investments in cash equivalents and marketable securities held with the bank. This facility is collateralized by the Company’s cash equivalents and marketable securities held with the bank. Borrowings under the facility incur interest rate at the bank’s base rate plus 1%. This margin account facility provides us with the flexibility to access cash for short periods of time and avoids the need to sell marketable securities for these short-term requirements. At September 30, 2011, the Company had approximately $24.9 million in cash equivalents and marketable securities held at this bank. Any monies borrowed and interest incurred are payable on demand, and there is no express expiration date to the credit facility. During the three months ended September 30, 2011, the Company borrowed $12.0 million and repaid the entire amount during the same period. As of September 30, 2011, the Company has no outstanding borrowings under the credit facility.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11. Comprehensive Loss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Comprehensive income (loss) consists of the following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172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96"/>
              </w:rPr>
              <w:t>Three Months Ended</w:t>
            </w:r>
          </w:p>
        </w:tc>
        <w:tc>
          <w:tcPr>
            <w:tcW w:w="180" w:type="dxa"/>
            <w:vAlign w:val="bottom"/>
          </w:tcPr>
          <w:p>
            <w:pPr>
              <w:spacing w:after="0"/>
              <w:rPr>
                <w:sz w:val="14"/>
                <w:szCs w:val="14"/>
                <w:color w:val="auto"/>
              </w:rPr>
            </w:pPr>
          </w:p>
        </w:tc>
        <w:tc>
          <w:tcPr>
            <w:tcW w:w="180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6800" w:type="dxa"/>
            <w:vAlign w:val="bottom"/>
          </w:tcPr>
          <w:p>
            <w:pPr>
              <w:spacing w:after="0"/>
              <w:rPr>
                <w:sz w:val="14"/>
                <w:szCs w:val="14"/>
                <w:color w:val="auto"/>
              </w:rPr>
            </w:pPr>
          </w:p>
        </w:tc>
        <w:tc>
          <w:tcPr>
            <w:tcW w:w="17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8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6800" w:type="dxa"/>
            <w:vAlign w:val="bottom"/>
          </w:tcPr>
          <w:p>
            <w:pPr>
              <w:spacing w:after="0"/>
              <w:rPr>
                <w:sz w:val="12"/>
                <w:szCs w:val="12"/>
                <w:color w:val="auto"/>
              </w:rPr>
            </w:pPr>
          </w:p>
        </w:tc>
        <w:tc>
          <w:tcPr>
            <w:tcW w:w="500" w:type="dxa"/>
            <w:vAlign w:val="bottom"/>
            <w:tcBorders>
              <w:top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Borders>
              <w:top w:val="single" w:sz="8" w:color="auto"/>
            </w:tcBorders>
          </w:tcPr>
          <w:p>
            <w:pPr>
              <w:jc w:val="right"/>
              <w:ind w:right="127"/>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6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 (loss)</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$4,498</w:t>
            </w:r>
          </w:p>
        </w:tc>
        <w:tc>
          <w:tcPr>
            <w:tcW w:w="4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(7,105)</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5"/>
              </w:rPr>
              <w:t>$ (21,488)</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(32,533)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Unrealized gain (loss) on cash equivalents and marketable securities, net of tax</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(60)</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30</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(54)</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15</w:t>
            </w:r>
          </w:p>
        </w:tc>
      </w:tr>
      <w:tr>
        <w:trPr>
          <w:trHeight w:val="27"/>
        </w:trPr>
        <w:tc>
          <w:tcPr>
            <w:tcW w:w="68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Comprehensive income (loss)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4,438</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5"/>
              </w:rPr>
              <w:t>$ (7,075)</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(21,542)</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(32,518)</w:t>
            </w:r>
          </w:p>
        </w:tc>
      </w:tr>
      <w:tr>
        <w:trPr>
          <w:trHeight w:val="20"/>
        </w:trPr>
        <w:tc>
          <w:tcPr>
            <w:tcW w:w="68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For the three and nine months ended September 30, 2011, the Company recorded income tax benefit, including discrete items, of $11.2 million and $10.6 million, respectively. These amounts vary from the income tax benefit that would be computed at the U.S. statutory rate resulting from its operating losses during the same period primarily due to an offsetting increase in the Company’s U.S.-based deferred tax valuation allowance, the release of accruals related to uncertain tax positions, and expenses attributable to foreign operations.</w:t>
      </w:r>
    </w:p>
    <w:p>
      <w:pPr>
        <w:spacing w:after="0" w:line="143"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The Company recognizes federal, state and foreign current tax liabilities or assets based on its estimate of taxes payable to or refundable by tax authorities in the current fiscal year. The Company also recognizes federal, state and foreign deferred tax liabilities or assets based on the Company’s estimate of future tax effects attributable to temporary differences and carry forwards. The Company records a valuation allowance to reduce any deferred tax assets by the amount of any tax benefits that, based on available evidence and judgment, are not expected to be realized.</w:t>
      </w:r>
    </w:p>
    <w:p>
      <w:pPr>
        <w:spacing w:after="0" w:line="113"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Company assesses whether a valuation allowance should be recorded against its deferred tax assets based on the consideration of all available evidence, using a “more likely than not” realization standard. The four sources of taxable income that must be considered in determining whether deferred tax assets will be realized are: (1) future reversals of existing taxable temporary differences (i.e., offset of gross deferred tax assets against gross deferred tax liabilities); (2) taxable income in prior carryback years, if carryback is permitted under the applicable tax law; (3) tax planning strategies; and (4) future taxable income exclusive of reversing temporary differences and carryforwards.</w:t>
      </w:r>
    </w:p>
    <w:p>
      <w:pPr>
        <w:spacing w:after="0" w:line="11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assessing whether a valuation allowance is required, significant weight is to be given to evidence that can be objectively verified. A significant factor in the Company’s assessment is that the Company is in a three-year historical cumulative loss position. This fact, combined with uncertain near-term market and economic conditions, reduced the Company’s ability to rely on projections of future taxable income in assessing the realizability of its deferred tax assets.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After a review of the four sources of taxable income as of September 30, 2011 (as described above), the Company recognized an increase in the valuation</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allowance primarily related to its U.S.-based deferred tax amounts resulting from carryforward net operating losses generated during the three and nine months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ended September 30, 2011. These deferred tax benefits, combined with the increased valuation allowance, resulted in income tax expense of $46,000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$372,000 for the three and nine months period ended September 30, 2011, respectively. The Company’s valuation allowance was $34.7 million on gross deferred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tax assets of $37.0 million at September 30, 2011. The net unreserved portion of the Company’s remaining deferred tax assets at September 30, 2011 primarily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related to research and development tax credits associated with the Company’s Canadian subsidiary.</w:t>
      </w:r>
    </w:p>
    <w:p>
      <w:pPr>
        <w:spacing w:after="0" w:line="165"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The Company follows the accounting guidance related to financial statement recognition, measurement and disclosure of uncertain tax positions. The Company recognizes the impact of an uncertain income tax position at the largest amount that is more-likely-than-not to be sustained upon audit by the relevant taxing authority. An uncertain income tax position will not be recognized if it has less than a 50% likelihood of being sustained. During the three months ended September 30, 2011, the Company released $11.8 million of reserves related to uncertain tax positions due to expiration of the applicable statutes of limitations for certain tax years. As of September 30, 2011 and December 31, 2010, the total liability for unrecognized tax benefits was $411,000 and $12.0 million, respectively, and is included in other long-term liabilities on the Company’s consolidated balance sheets. For the three and nine months ended September 30, 2011, the Company included $3,000 and $31,000, respectively, of interest expense related to uncertain tax positions in its Consolidated Statements of Operations.</w:t>
      </w:r>
    </w:p>
    <w:p>
      <w:pPr>
        <w:spacing w:after="0" w:line="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274" w:right="299" w:bottom="1440" w:gutter="0" w:footer="0" w:header="0"/>
        </w:sectPr>
      </w:pPr>
    </w:p>
    <w:bookmarkStart w:id="18" w:name="page19"/>
    <w:bookmarkEnd w:id="18"/>
    <w:p>
      <w:pPr>
        <w:ind w:right="4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a result of a $1.7 million correction to the November 30, 2010 acquisition value of Enfora’s intangible assets (Note 1), the Company recorded a corresponding correction of $612,000 to its net deferred tax assets during the three months ended September 30, 2011, with a corresponding charge to income tax expense.</w:t>
      </w:r>
    </w:p>
    <w:p>
      <w:pPr>
        <w:spacing w:after="0" w:line="140" w:lineRule="exact"/>
        <w:rPr>
          <w:sz w:val="20"/>
          <w:szCs w:val="20"/>
          <w:color w:val="auto"/>
        </w:rPr>
      </w:pPr>
    </w:p>
    <w:p>
      <w:pPr>
        <w:jc w:val="both"/>
        <w:ind w:right="500" w:firstLine="456"/>
        <w:spacing w:after="0" w:line="259" w:lineRule="auto"/>
        <w:rPr>
          <w:sz w:val="20"/>
          <w:szCs w:val="20"/>
          <w:color w:val="auto"/>
        </w:rPr>
      </w:pPr>
      <w:r>
        <w:rPr>
          <w:rFonts w:ascii="Arial" w:cs="Arial" w:eastAsia="Arial" w:hAnsi="Arial"/>
          <w:sz w:val="18"/>
          <w:szCs w:val="18"/>
          <w:color w:val="auto"/>
        </w:rPr>
        <w:t>Also during the three months ended September 30, 2011, the Company completed its assessment of deferred tax benefits resulting from related to its acquisition of Enfora in 2010. As a result, the Company decreased its estimate of deferred tax assets acquired by $297,000, with a corresponding charge to income tax expense.</w:t>
      </w:r>
    </w:p>
    <w:p>
      <w:pPr>
        <w:spacing w:after="0" w:line="14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Company and its subsidiaries file U.S., state, and foreign income tax returns in jurisdictions with various statutes of limitations. The California Franchise Tax Board is currently conducting an examination of the Company’s California income tax returns for 2006 and 2007. The Internal Revenue Service is currently conducting an examination of the Company’s U.S. income tax return for 2009. The Company is also subject to various income federal tax examinations for the 2001 through 2010 calendar years due to the availability of net operating loss carryforwards. The Company believes appropriate provisions for all outstanding issues have been made for all jurisdictions and all open years. However, because audit outcomes and the timing of audit settlements are subject to significant uncertainty, the Company’s current estimate of the total amounts of unrecognized tax benefits could increase or decrease for all open years. Currently, the Company does not anticipate that there will be any material change in the recognized tax benefits within next twelve months.</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following information should be read in conjunction with the consolidated financial statements and the accompanying notes included in Item 1 of this report, as well as the audited consolidated financial statements and accompanying notes and Management’s Discussion and Analysis of Financial Condition and Results of Operations for the year ended December 31, 2010 contained in our 2010 Form 10-K.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Background</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are a provider of wireless broadband access solutions for the worldwide mobile communications market. Our broad range of mobile computing products principally includes intelligent mobile hotspots, USB modems, embedded PCI and wireless PC-card modems, and communications and applications software. In addition, through our acquisition of Enfora, Inc. (“Enfora”) on November 30, 2010, our product portfolio was expanded to include asset-management solutions utilizing wireless technology and machine-to-machine (M2M) communications devices.</w:t>
      </w:r>
    </w:p>
    <w:p>
      <w:pPr>
        <w:spacing w:after="0" w:line="11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products operate on a majority of the world’s wireless networks. Our mobile hotspots and modems provide subscribers with secure and convenient high speed access to corporate, public and personal information through the Internet and enterprise networks. Our M2M products enable devices to communicate with end users and machines and with server-based application infrastructure.</w:t>
      </w:r>
    </w:p>
    <w:p>
      <w:pPr>
        <w:spacing w:after="0" w:line="14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mobile-hotspot and modem customer base is comprised of wireless operators, including AT&amp;T, Bell Mobility, Sprint Nextel, Telefonica, Verizon Wireless, Virgin Mobile, and Vodafone; laptop PC and other original equipment manufacturers (OEMs), including Dell; as well as distributors and various companies in other vertical markets. Our M2M customer base is comprised of transportation companies, industrial companies, manufacturers of medical devices and geographical-location aware devices and providers of security systems. We have strategic relationships with several of these customers for technology development and marketing.</w:t>
      </w:r>
    </w:p>
    <w:p>
      <w:pPr>
        <w:spacing w:after="0" w:line="14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intend to continue to identify and respond to our customers’ needs by introducing new product designs with an emphasis on supporting cutting edge wide area network, or WAN, technology, ease-of-use, performance, size, weight, cost and power consumption. We manage our products through a structured life cycle process, from identifying initial customer requirements through development and commercial introduction to eventual phase-out. During product development, emphasis is placed on time-to-market, meeting industry standards and customer product specifications, ease of integration, cost reduction, manufacturability, quality and reliability.</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hardware components used in our solutions are produced by contract manufacturers. Their services include component procurement, assembly, testing, quality control, fulfillment and delivery. We have agreements with LG Innotek, Inventec Appliances Corporation, or IAC, Hon Hai Precision Industry Co., LTD, and Benchmark Electronics for the outsourced manufacturing of our products. In addition, we have an agreement with Mobiltron for certain distribution, fulfillment and repair services related to our business in Europe, the Middle East and Africa, or EMEA.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Which May Influence Future Results of Operations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Net Revenues. </w:t>
      </w:r>
      <w:r>
        <w:rPr>
          <w:rFonts w:ascii="Arial" w:cs="Arial" w:eastAsia="Arial" w:hAnsi="Arial"/>
          <w:sz w:val="16"/>
          <w:szCs w:val="16"/>
          <w:color w:val="auto"/>
        </w:rPr>
        <w:t>We believe that our future net revenues will be influenced largely by the speed and breadth of the demand for wireless access to data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the use of next generation networks including demand for 3G and 4G products, 3G and 4G data access services, particularly in North America, Europe and Asia; customer acceptance for our new products that address these markets, including our MiFi line of Intelligent Mobile Hotspots; and our ability to meet customer demand. Factors that could potentially affect customer demand for our products include the following:</w:t>
      </w:r>
    </w:p>
    <w:p>
      <w:pPr>
        <w:spacing w:after="0" w:line="32"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economic environment and related market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5"/>
          <w:szCs w:val="15"/>
          <w:color w:val="auto"/>
        </w:rPr>
      </w:pPr>
      <w:r>
        <w:rPr>
          <w:rFonts w:ascii="Arial" w:cs="Arial" w:eastAsia="Arial" w:hAnsi="Arial"/>
          <w:sz w:val="15"/>
          <w:szCs w:val="15"/>
          <w:color w:val="auto"/>
        </w:rPr>
        <w:t>increased competition from other wireless data modem suppliers as well as suppliers of emerging devices that contain a wireless data access feature;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19" w:name="page20"/>
    <w:bookmarkEnd w:id="19"/>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demand for broadband access services and networks;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use of the Internet;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rate of change to new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timing of deployment of 4G networks by wireless operators;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decreased demand for EV-DO and HSPA products;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technologies.</w:t>
      </w:r>
    </w:p>
    <w:p>
      <w:pPr>
        <w:spacing w:after="0" w:line="17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continue to develop and maintain strategic relationships with wireless and computing industry leaders like Alcatel-Lucent, Dell, QUALCOMM, Sprint Nextel, Verizon Wireless, Virgin Mobile, Vodafone, Telefonica, Texas Instruments, Motorola Mobility Holdings and major software vendors. Through strategic relationships, we have been able to increase market penetration by leveraging the resources of our channel partners, including their access to distribution resources, increased sales opportunities and market opportunities. We have entered into and expect to continue to enter into new customer contracts for the development and supply of our products. This may place significant demands on our resources.</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a result of the extremely competitive market for wireless devices, we have experienced and expect to continue to experience significant downward pressure on the average selling price of our products. This pressure has the potential to materially adversely affect our results of operations and financial condition in future periods and we cannot predict the magnitude or timing of future reductions in the average selling price of our products. We have experienced significant fluctuations in our quarterly results of operations. Demand for our products may continue to fluctuate unexpectedly, which could materially adversely affect our results of operations and financial condition.</w:t>
      </w:r>
    </w:p>
    <w:p>
      <w:pPr>
        <w:spacing w:after="0" w:line="14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contract with a number of suppliers in Thailand. Some of these suppliers have been unable to deliver sufficient quantities of components as a result of the effects of the significant flooding in Thailand that began in on July 2011 and continues to persist as of the filing of this report. Our M2M products are being impacted significantly by these component shortages. The shortages have limited our ability to deliver against sales opportunities, negatively impacting our results of operations. We are taking steps to remediate the business disruption and estimate the impact to be approximately $3 million to $4 million of reduced revenue in the fourth quarter of 2011.</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i w:val="1"/>
          <w:iCs w:val="1"/>
          <w:color w:val="auto"/>
        </w:rPr>
        <w:t xml:space="preserve">Cost of Net Revenues. </w:t>
      </w:r>
      <w:r>
        <w:rPr>
          <w:rFonts w:ascii="Arial" w:cs="Arial" w:eastAsia="Arial" w:hAnsi="Arial"/>
          <w:sz w:val="16"/>
          <w:szCs w:val="16"/>
          <w:color w:val="auto"/>
        </w:rPr>
        <w:t>All costs associated with our contract manufacturers, as well as distribution, fulfillment and repair services are included in our cost</w:t>
      </w:r>
      <w:r>
        <w:rPr>
          <w:rFonts w:ascii="Arial" w:cs="Arial" w:eastAsia="Arial" w:hAnsi="Arial"/>
          <w:sz w:val="16"/>
          <w:szCs w:val="16"/>
          <w:i w:val="1"/>
          <w:iCs w:val="1"/>
          <w:color w:val="auto"/>
        </w:rPr>
        <w:t xml:space="preserve"> </w:t>
      </w:r>
      <w:r>
        <w:rPr>
          <w:rFonts w:ascii="Arial" w:cs="Arial" w:eastAsia="Arial" w:hAnsi="Arial"/>
          <w:sz w:val="16"/>
          <w:szCs w:val="16"/>
          <w:color w:val="auto"/>
        </w:rPr>
        <w:t>of net revenues. Cost of net revenues also includes warranty costs, amortization of intangible assets, royalties, operations group expenses, costs associated with the Company’s cancellation of purchase orders, costs related to outside services and costs related to inventory adjustments, including write downs for excess and obsolete inventory. Inventory adjustments are impacted primarily by demand for our products, which is influenced by the factors discussed above.</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Operating Costs and Expenses. </w:t>
      </w:r>
      <w:r>
        <w:rPr>
          <w:rFonts w:ascii="Arial" w:cs="Arial" w:eastAsia="Arial" w:hAnsi="Arial"/>
          <w:sz w:val="18"/>
          <w:szCs w:val="18"/>
          <w:color w:val="auto"/>
        </w:rPr>
        <w:t>Many of our products target wireless operators and other customers in North America, Europe, and Asia. We will likely</w:t>
      </w:r>
      <w:r>
        <w:rPr>
          <w:rFonts w:ascii="Arial" w:cs="Arial" w:eastAsia="Arial" w:hAnsi="Arial"/>
          <w:sz w:val="18"/>
          <w:szCs w:val="18"/>
          <w:i w:val="1"/>
          <w:iCs w:val="1"/>
          <w:color w:val="auto"/>
        </w:rPr>
        <w:t xml:space="preserve"> </w:t>
      </w:r>
      <w:r>
        <w:rPr>
          <w:rFonts w:ascii="Arial" w:cs="Arial" w:eastAsia="Arial" w:hAnsi="Arial"/>
          <w:sz w:val="18"/>
          <w:szCs w:val="18"/>
          <w:color w:val="auto"/>
        </w:rPr>
        <w:t>develop new products to serve these markets, resulting in additional research and development expenses. We have in the past and expect to continue to incur these expenses in future periods prior to recognizing net revenues from sales of these products.</w:t>
      </w:r>
    </w:p>
    <w:p>
      <w:pPr>
        <w:spacing w:after="0" w:line="14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Our operating costs consist of four primary categories: research and development costs; sales and marketing; general and administrative costs; and amortization of purchased intangible assets.</w:t>
      </w:r>
    </w:p>
    <w:p>
      <w:pPr>
        <w:spacing w:after="0" w:line="132"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Research and development is at the core of our ability to produce innovative, leading-edge products. This category consists primarily of engineers and technicians who design and test our highly complex products. As we work to expand our portfolio of products and remain competitive, it may be necessary to increase our research and development costs in the future.</w:t>
      </w:r>
    </w:p>
    <w:p>
      <w:pPr>
        <w:spacing w:after="0" w:line="14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Sales and marketing expense consists primarily of our sales force and product-marketing professionals. In order to maintain strong sales relationships, we provide co-marketing, trade show support, product training and demo units for merchandising. We are also engaged in a wide variety of activities, such as awareness and lead generation programs as well as product marketing. Other marketing initiatives include public relations, seminars and co-branding with partners.</w:t>
      </w:r>
    </w:p>
    <w:p>
      <w:pPr>
        <w:spacing w:after="0" w:line="14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General and administrative expenses include primarily corporate functions such as accounting, human resources, legal, administrative support, and professional fees. This category also includes the expenses needed to operate as a publicly-traded company, including Sarbanes-Oxley compliance, SEC filings, stock-exchange fees, and investor-relations expense. General and administrative expenses have been relatively stable and are not directly related to revenue levels.</w:t>
      </w:r>
    </w:p>
    <w:p>
      <w:pPr>
        <w:spacing w:after="0" w:line="14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Amortization of purchased intangible assets includes the amortization of customer relationships, covenant-not-to-compete agreements and trade name intangible assets purchased through the acquisition of Enfora.</w:t>
      </w:r>
    </w:p>
    <w:p>
      <w:pPr>
        <w:spacing w:after="0" w:line="132" w:lineRule="exact"/>
        <w:rPr>
          <w:sz w:val="20"/>
          <w:szCs w:val="20"/>
          <w:color w:val="auto"/>
        </w:rPr>
      </w:pPr>
    </w:p>
    <w:p>
      <w:pPr>
        <w:ind w:right="480" w:firstLine="456"/>
        <w:spacing w:after="0" w:line="306" w:lineRule="auto"/>
        <w:rPr>
          <w:sz w:val="20"/>
          <w:szCs w:val="20"/>
          <w:color w:val="auto"/>
        </w:rPr>
      </w:pPr>
      <w:r>
        <w:rPr>
          <w:rFonts w:ascii="Arial" w:cs="Arial" w:eastAsia="Arial" w:hAnsi="Arial"/>
          <w:sz w:val="16"/>
          <w:szCs w:val="16"/>
          <w:color w:val="auto"/>
        </w:rPr>
        <w:t>As part of our business strategy, we review, and intend to continue to review, acquisition opportunities that we believe would be advantageous or complementary to the development of our business. If we make any acquisitions, we may incur substantial expenditures in conjunction with the acquisition process and the subsequent assimilation of any acquired business, products, technologies or personnel.</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Critical Accounting Policies and Estimates</w:t>
      </w:r>
    </w:p>
    <w:p>
      <w:pPr>
        <w:spacing w:after="0" w:line="96" w:lineRule="exact"/>
        <w:rPr>
          <w:sz w:val="20"/>
          <w:szCs w:val="20"/>
          <w:color w:val="auto"/>
        </w:rPr>
      </w:pPr>
    </w:p>
    <w:p>
      <w:pPr>
        <w:ind w:right="120" w:firstLine="456"/>
        <w:spacing w:after="0" w:line="308" w:lineRule="auto"/>
        <w:rPr>
          <w:sz w:val="20"/>
          <w:szCs w:val="20"/>
          <w:color w:val="auto"/>
        </w:rPr>
      </w:pPr>
      <w:r>
        <w:rPr>
          <w:rFonts w:ascii="Arial" w:cs="Arial" w:eastAsia="Arial" w:hAnsi="Arial"/>
          <w:sz w:val="15"/>
          <w:szCs w:val="15"/>
          <w:color w:val="auto"/>
        </w:rPr>
        <w:t>The preparation of financial statements in conformity with accounting principles generally accepted in the United States of America (“GAAP”) requires management to make estimates and assumptions. These estimates and assumptions affect the reported amounts of assets, liabilities, revenues, expenses and disclosures of contingent assets and liabilities. Actual results could differ from these estimates. Critical accounting policies and significant estimates include revenue recognition, allowance for doubtful accounts receivable, provision for excess and obsolete inventory, valuation of intangible and long-lived assets, valuation of goodwill, valuation of contingent consideration, royalty costs, provision for warranty costs, income taxes, and share-based compensation expense. The significant accounting policies used in preparation of these consolidated financial statements for the three and nine months ended September 30, 2011 are consistent with those discussed in Note 1 to the consolidated financial statements included in our 2010 Form 10-K in all material respects and in Note 1 to the consolidated financial statements included in this report. The critical accounting policies and the significant judgments and estimates used in the preparation of our consolidated financial statements for the three and nine months ended September 30, 2011 are consistent with those discussed in our 2010 Form 10-K in the section captioned “Management’s Discussion and Analysis of Financial Condition and Results of Operations — Critical Accounting Policies and Estimates.”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2011 Compared to Three Months Ended September 30, 2010</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Net revenues. </w:t>
      </w:r>
      <w:r>
        <w:rPr>
          <w:rFonts w:ascii="Arial" w:cs="Arial" w:eastAsia="Arial" w:hAnsi="Arial"/>
          <w:sz w:val="18"/>
          <w:szCs w:val="18"/>
          <w:color w:val="auto"/>
        </w:rPr>
        <w:t>Net revenues for the three months ended September 30, 2011 were $113.3 million, an increase of $37.7 million or 50% compared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same period in 2010.</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net revenues by reportable segment and product categories during the three months ended September 30, 2011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2010 (in thousands):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4"/>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4"/>
          </w:tcPr>
          <w:p>
            <w:pPr>
              <w:ind w:left="3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598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2011</w:t>
            </w:r>
          </w:p>
        </w:tc>
        <w:tc>
          <w:tcPr>
            <w:tcW w:w="400" w:type="dxa"/>
            <w:vAlign w:val="bottom"/>
            <w:tcBorders>
              <w:top w:val="single" w:sz="8" w:color="auto"/>
              <w:bottom w:val="single" w:sz="8" w:color="CCEEFF"/>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40" w:type="dxa"/>
            <w:vAlign w:val="bottom"/>
            <w:tcBorders>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5"/>
              </w:rPr>
              <w:t>Net revenues by reportable segment:</w:t>
            </w:r>
          </w:p>
        </w:tc>
        <w:tc>
          <w:tcPr>
            <w:tcW w:w="59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Mobile Computing Products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102,691</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$75,602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M2M Products and Solutions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10,572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40" w:type="dxa"/>
            <w:vAlign w:val="bottom"/>
            <w:gridSpan w:val="4"/>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740" w:type="dxa"/>
            <w:vAlign w:val="bottom"/>
            <w:gridSpan w:val="4"/>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113,263</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75,602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2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7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Net revenues by product category:</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Mobile Broadband Devices</w:t>
            </w:r>
          </w:p>
        </w:tc>
        <w:tc>
          <w:tcPr>
            <w:tcW w:w="6160" w:type="dxa"/>
            <w:vAlign w:val="bottom"/>
            <w:tcBorders>
              <w:top w:val="single" w:sz="8" w:color="CCEEFF"/>
            </w:tcBorders>
            <w:gridSpan w:val="2"/>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CCEEFF"/>
            </w:tcBorders>
            <w:gridSpan w:val="2"/>
          </w:tcPr>
          <w:p>
            <w:pPr>
              <w:jc w:val="right"/>
              <w:ind w:right="400"/>
              <w:spacing w:after="0"/>
              <w:rPr>
                <w:sz w:val="20"/>
                <w:szCs w:val="20"/>
                <w:color w:val="auto"/>
              </w:rPr>
            </w:pPr>
            <w:r>
              <w:rPr>
                <w:rFonts w:ascii="Arial" w:cs="Arial" w:eastAsia="Arial" w:hAnsi="Arial"/>
                <w:sz w:val="18"/>
                <w:szCs w:val="18"/>
                <w:color w:val="auto"/>
              </w:rPr>
              <w:t>93,250</w:t>
            </w:r>
          </w:p>
        </w:tc>
        <w:tc>
          <w:tcPr>
            <w:tcW w:w="5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86"/>
              </w:rPr>
              <w:t>$75,005</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Embedded Modules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13,769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Asset Management Solutions &amp; Services</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6,244</w:t>
            </w:r>
          </w:p>
        </w:tc>
        <w:tc>
          <w:tcPr>
            <w:tcW w:w="580" w:type="dxa"/>
            <w:vAlign w:val="bottom"/>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113,263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75,602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i w:val="1"/>
          <w:iCs w:val="1"/>
          <w:color w:val="auto"/>
        </w:rPr>
        <w:t xml:space="preserve">Mobile Computing Products. </w:t>
      </w:r>
      <w:r>
        <w:rPr>
          <w:rFonts w:ascii="Arial" w:cs="Arial" w:eastAsia="Arial" w:hAnsi="Arial"/>
          <w:sz w:val="18"/>
          <w:szCs w:val="18"/>
          <w:color w:val="auto"/>
        </w:rPr>
        <w:t>Net revenues from our Mobile Computing Products segment for the three months ended September 30, 2011 were $102.7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an increase of $27.1 million or 36% compared to the same period in 2010. The increase is primarily attributable to new product rollouts of our next generation 4G MiFi Intelligent Mobile Hotspot.</w:t>
      </w:r>
    </w:p>
    <w:p>
      <w:pPr>
        <w:spacing w:after="0" w:line="140"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i w:val="1"/>
          <w:iCs w:val="1"/>
          <w:color w:val="auto"/>
        </w:rPr>
        <w:t xml:space="preserve">M2M Products and Solutions. </w:t>
      </w:r>
      <w:r>
        <w:rPr>
          <w:rFonts w:ascii="Arial" w:cs="Arial" w:eastAsia="Arial" w:hAnsi="Arial"/>
          <w:sz w:val="16"/>
          <w:szCs w:val="16"/>
          <w:color w:val="auto"/>
        </w:rPr>
        <w:t>Net revenues from our M2M Products and Solutions segment for the three months ended September 30, 2011 were $10.6</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compared with no net revenues for the same period last year. The increase is attributable to our acquisition of Enfora during the fourth quarter of 2010. The net revenues consist primarily of 2G Global System for Mobile Communications (“GSM”) embedded modules, and solutions and services.</w:t>
      </w:r>
    </w:p>
    <w:p>
      <w:pPr>
        <w:spacing w:after="0" w:line="107"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i w:val="1"/>
          <w:iCs w:val="1"/>
          <w:color w:val="auto"/>
        </w:rPr>
        <w:t xml:space="preserve">Product Categories. </w:t>
      </w:r>
      <w:r>
        <w:rPr>
          <w:rFonts w:ascii="Arial" w:cs="Arial" w:eastAsia="Arial" w:hAnsi="Arial"/>
          <w:sz w:val="16"/>
          <w:szCs w:val="16"/>
          <w:color w:val="auto"/>
        </w:rPr>
        <w:t>We have categorized the combined product portfolios of the mobile computing and M2M businesses into three categories (1) Mobile</w:t>
      </w:r>
      <w:r>
        <w:rPr>
          <w:rFonts w:ascii="Arial" w:cs="Arial" w:eastAsia="Arial" w:hAnsi="Arial"/>
          <w:sz w:val="16"/>
          <w:szCs w:val="16"/>
          <w:i w:val="1"/>
          <w:iCs w:val="1"/>
          <w:color w:val="auto"/>
        </w:rPr>
        <w:t xml:space="preserve"> </w:t>
      </w:r>
      <w:r>
        <w:rPr>
          <w:rFonts w:ascii="Arial" w:cs="Arial" w:eastAsia="Arial" w:hAnsi="Arial"/>
          <w:sz w:val="16"/>
          <w:szCs w:val="16"/>
          <w:color w:val="auto"/>
        </w:rPr>
        <w:t>Broadband Devices, (2) Embedded Modules and (3) Asset Management Solutions and Services. These categories were established due to the different markets and sales channels served. We believe this product categorization information facilitates the analysis of the our operating trends.</w:t>
      </w:r>
    </w:p>
    <w:p>
      <w:pPr>
        <w:spacing w:after="0" w:line="107" w:lineRule="exact"/>
        <w:rPr>
          <w:sz w:val="20"/>
          <w:szCs w:val="20"/>
          <w:color w:val="auto"/>
        </w:rPr>
      </w:pPr>
    </w:p>
    <w:p>
      <w:pPr>
        <w:ind w:right="220" w:firstLine="456"/>
        <w:spacing w:after="0" w:line="370" w:lineRule="auto"/>
        <w:rPr>
          <w:sz w:val="20"/>
          <w:szCs w:val="20"/>
          <w:color w:val="auto"/>
        </w:rPr>
      </w:pPr>
      <w:r>
        <w:rPr>
          <w:rFonts w:ascii="Arial" w:cs="Arial" w:eastAsia="Arial" w:hAnsi="Arial"/>
          <w:sz w:val="15"/>
          <w:szCs w:val="15"/>
          <w:color w:val="auto"/>
        </w:rPr>
        <w:t>The Mobile Broadband Devices include all mobile computing external data modems including PC cards, USB dongles and MiFi intelligent personal hotspots. These devices are sold primarily through wireless operator enterprise and retail channels, telecom equipment distributors and consumer retail chains.</w:t>
      </w:r>
    </w:p>
    <w:p>
      <w:pPr>
        <w:spacing w:after="0" w:line="62"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Embedded Modules products are sold as components of various wireless broadband devices produced by OEM laptop computer and other wireless broadband technology hardware enterprises. These products are sold directly to these enterprises or through distributor channels.</w:t>
      </w:r>
    </w:p>
    <w:p>
      <w:pPr>
        <w:spacing w:after="0" w:line="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Asset Management Solutions and Services are mobile intelligent wireless broadband terminal devices and communication management software (CMS) that transmits information about the assets into which these products are integrated. These hardware and software products can be bundled or sold separately. The CMS software activates the terminal device onto the wireless network and manages its functionality.</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Net revenues from our Mobile Broadband Devices category for the three months ended September 30, 2011 were $93.3 million, an increase of $18.3</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million or 24% compared to the same period in 2010. The increase in net revenues was primarily driven by higher sales of our next generation 4G MiFi products.</w:t>
      </w:r>
    </w:p>
    <w:p>
      <w:pPr>
        <w:spacing w:after="0" w:line="18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Embedded Modules category accounted for 12% of total net revenues for the three months ended September 30, 2011. This included $5.0 million in sales of M2M modules and $8.8 million of embedded modules for OEM computing devices.</w:t>
      </w:r>
    </w:p>
    <w:p>
      <w:pPr>
        <w:spacing w:after="0" w:line="132"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Net revenues from Asset Management Solutions &amp; Services were $6.2 million and accounted for approximately 6% of total net revenues for the three months ended September 30, 2011. These sales were predominantly comprised of integrated product hardware sales.</w:t>
      </w:r>
    </w:p>
    <w:p>
      <w:pPr>
        <w:sectPr>
          <w:pgSz w:w="11900" w:h="16838" w:orient="portrait"/>
          <w:cols w:equalWidth="0" w:num="1">
            <w:col w:w="11360"/>
          </w:cols>
          <w:pgMar w:left="240" w:top="274" w:right="299" w:bottom="1440" w:gutter="0" w:footer="0" w:header="0"/>
        </w:sectPr>
      </w:pP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360"/>
          </w:cols>
          <w:pgMar w:left="240" w:top="274" w:right="299" w:bottom="1440" w:gutter="0" w:footer="0" w:header="0"/>
          <w:type w:val="continuous"/>
        </w:sectPr>
      </w:pPr>
    </w:p>
    <w:bookmarkStart w:id="21" w:name="page22"/>
    <w:bookmarkEnd w:id="21"/>
    <w:p>
      <w:pPr>
        <w:ind w:right="4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increase in net revenues in Embedded Modules and Asset Management Solutions and Services compared to the same period in 2010 were related to the Enfora acquisition and increased sales to OEM customers in the Mobile Computing Products segment.</w:t>
      </w:r>
    </w:p>
    <w:p>
      <w:pPr>
        <w:spacing w:after="0" w:line="132"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b w:val="1"/>
          <w:bCs w:val="1"/>
          <w:i w:val="1"/>
          <w:iCs w:val="1"/>
          <w:color w:val="auto"/>
        </w:rPr>
        <w:t xml:space="preserve">Cost of net revenues. </w:t>
      </w:r>
      <w:r>
        <w:rPr>
          <w:rFonts w:ascii="Arial" w:cs="Arial" w:eastAsia="Arial" w:hAnsi="Arial"/>
          <w:sz w:val="18"/>
          <w:szCs w:val="18"/>
          <w:color w:val="auto"/>
        </w:rPr>
        <w:t>Cost of net revenues for the three months ended September 30, 2011 was $86.6 million, or 76% of net revenues, as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$62.4 million, or 83% of net revenues, for the same period in 2010. During the third quarter of 2011, the cost of revenues as a percentage of net revenues benefitted from a favorable mix of higher margin MiFi products, embedded modules, and USB modems sold that included recently launched next generation 4G products and from a higher revenue level in proportion to fixed manufacturing overhead costs. Cost of revenues for the three months ended September 30, 2011 includes amortization costs of $705,000 related to purchased intangibles in connection with our Enfora acquisition. Cost of revenues as a percentage of net revenues is expected to fluctuate in future quarters depending on revenue levels, the mix of products sold, competitive pricing, new product introduction costs and other factors.</w:t>
      </w:r>
    </w:p>
    <w:p>
      <w:pPr>
        <w:spacing w:after="0" w:line="147"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for the three months ended September 30, 2011 was $26.7 million, or 24% of net revenues, compared to $13.2 million, or 17%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revenues, for the same period in 2010. The increase was primarily attributable to the changes in net revenues and cost of net revenues as discussed above. We expect that our gross profit percentage will continue to fluctuate from quarter to quarter depending on revenue levels, product mix, competitive selling prices, our ability to reduce product costs and changes in unit volumes.</w:t>
      </w:r>
    </w:p>
    <w:p>
      <w:pPr>
        <w:spacing w:after="0" w:line="14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expenses for the three months ended September 30, 2011 were $15.1 million, or 13%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revenues, compared to $11.6 million, or 15% of net revenues, for the same period in 2010. The increase in expenses was due to our Enfora acquisition, and additional engineering headcount in our Mobile Computing Products segment to support expanded development activities during the three months ended September 30, 2011 compared to the same period in 2010.</w:t>
      </w:r>
    </w:p>
    <w:p>
      <w:pPr>
        <w:spacing w:after="0" w:line="143" w:lineRule="exact"/>
        <w:rPr>
          <w:sz w:val="20"/>
          <w:szCs w:val="20"/>
          <w:color w:val="auto"/>
        </w:rPr>
      </w:pPr>
    </w:p>
    <w:p>
      <w:pPr>
        <w:ind w:right="460" w:firstLine="456"/>
        <w:spacing w:after="0" w:line="298" w:lineRule="auto"/>
        <w:rPr>
          <w:sz w:val="20"/>
          <w:szCs w:val="20"/>
          <w:color w:val="auto"/>
        </w:rPr>
      </w:pPr>
      <w:r>
        <w:rPr>
          <w:rFonts w:ascii="Arial" w:cs="Arial" w:eastAsia="Arial" w:hAnsi="Arial"/>
          <w:sz w:val="16"/>
          <w:szCs w:val="16"/>
          <w:color w:val="auto"/>
        </w:rPr>
        <w:t>We expect to maintain or increase our investment in research and development to continue to provide innovative products and services. Research and development expenses as a percentage of net revenues are expected to fluctuate in future quarters depending on the amount of net revenues recognized, and potential variation in the costs associated with the development of the Company’s products, including the number and complexity of the products under development and the progress of the development activities with respect to those products.</w:t>
      </w:r>
    </w:p>
    <w:p>
      <w:pPr>
        <w:spacing w:after="0" w:line="113"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b w:val="1"/>
          <w:bCs w:val="1"/>
          <w:i w:val="1"/>
          <w:iCs w:val="1"/>
          <w:color w:val="auto"/>
        </w:rPr>
        <w:t xml:space="preserve">Sales and marketing expenses. </w:t>
      </w:r>
      <w:r>
        <w:rPr>
          <w:rFonts w:ascii="Arial" w:cs="Arial" w:eastAsia="Arial" w:hAnsi="Arial"/>
          <w:sz w:val="16"/>
          <w:szCs w:val="16"/>
          <w:color w:val="auto"/>
        </w:rPr>
        <w:t>Sales and marketing expenses for the three months ended September 30, 2011 were $7.2 million, or 6% of net revenues,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$4.2 million, or 6% of net revenues, for the same period in 2010. Although expenses remained relatively flat as a percentage of revenue, sales and marketing expenses increased during the three months ended September 30, 2011 compared to the same period in 2010. The increase was related to our Enfora acquisition in the M2M Products and Solutions segment, and increases in outside consulting expenses, salaries and related expenditures, and marketing and cooperative advertising expenses in our Mobile Computing Products segment.</w:t>
      </w:r>
    </w:p>
    <w:p>
      <w:pPr>
        <w:spacing w:after="0" w:line="116"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While managing sales and marketing expenses relative to net revenues, we expect to continue to make selected investments in sales and marketing as we introduce new products, market existing products, expand our distribution channels and focus on key customers around the world.</w:t>
      </w:r>
    </w:p>
    <w:p>
      <w:pPr>
        <w:spacing w:after="0" w:line="8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for the three months ended September 30, 2011 were $6.2 million, or 5% of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revenues, compared to $3.8 million, or 5% of net revenues, for the same period in 2010. Although expenses remained relatively flat as a percentage of revenue, general and administrative expenses increased during the three months ended September 30, 2011 compared to the same period in 2010. The increase was related to our Enfora acquisition in the M2M Products and Solutions segment, and increases in outside consulting and legal expenses, and salaries and related expenditures in our Mobile Computing Products segment.</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While we are closely monitoring and controlling general and administrative costs, we expect these costs to be negatively impacted by legal fees incurred by the Company to defend the claims described in Note 9 to our Consolidated Financial Statements included in this report.</w:t>
      </w:r>
    </w:p>
    <w:p>
      <w:pPr>
        <w:spacing w:after="0" w:line="126" w:lineRule="exact"/>
        <w:rPr>
          <w:sz w:val="20"/>
          <w:szCs w:val="20"/>
          <w:color w:val="auto"/>
        </w:rPr>
      </w:pPr>
    </w:p>
    <w:p>
      <w:pPr>
        <w:ind w:right="660" w:firstLine="456"/>
        <w:spacing w:after="0" w:line="339" w:lineRule="auto"/>
        <w:rPr>
          <w:sz w:val="20"/>
          <w:szCs w:val="20"/>
          <w:color w:val="auto"/>
        </w:rPr>
      </w:pPr>
      <w:r>
        <w:rPr>
          <w:rFonts w:ascii="Arial" w:cs="Arial" w:eastAsia="Arial" w:hAnsi="Arial"/>
          <w:sz w:val="16"/>
          <w:szCs w:val="16"/>
          <w:b w:val="1"/>
          <w:bCs w:val="1"/>
          <w:i w:val="1"/>
          <w:iCs w:val="1"/>
          <w:color w:val="auto"/>
        </w:rPr>
        <w:t>Amortization of purchased intangible assets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increase in amortization expense for the three months ended September 30, 2011 was due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amortization of purchased intangible assets from the Enfora acquisition completed during the fourth quarter of 2010.</w:t>
      </w:r>
    </w:p>
    <w:p>
      <w:pPr>
        <w:spacing w:after="0" w:line="74"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i w:val="1"/>
          <w:iCs w:val="1"/>
          <w:color w:val="auto"/>
        </w:rPr>
        <w:t>Goodwill impairment loss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During the third quarter of 2011, we performed an interim assessment of impairment for goodwill. As a result of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assessment, which is described in Note 5 of the Notes to Consolidated Financial Statements, we recorded an estimated non-cash goodwill impairment charge of $3.5 million related to the M2M reporting unit. The fair value of the M2M reporting unit was estimated with the assistance of an independent third-party appraisal. As of November 9, 2011, the Company has not finalized its review of this impairment analysis due to the limited time period from the first indication of potential impairment to the date of this filing and the complexities involved in estimating the fair value of certain assets and liabilities. Any adjustment to that estimated charge resulting from the completion of the measurement of the impairment loss will be recognized in the fourth quarter of 2011.</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22" w:name="page23"/>
    <w:bookmarkEnd w:id="22"/>
    <w:p>
      <w:pPr>
        <w:ind w:firstLine="456"/>
        <w:spacing w:after="0" w:line="255"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Interest income (expense), net. </w:t>
      </w:r>
      <w:r>
        <w:rPr>
          <w:rFonts w:ascii="Arial" w:cs="Arial" w:eastAsia="Arial" w:hAnsi="Arial"/>
          <w:sz w:val="18"/>
          <w:szCs w:val="18"/>
          <w:color w:val="auto"/>
        </w:rPr>
        <w:t>Interest income (expense), net, for the three months ended September 30, 2011 was $60,000 of income as compared to $2.3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of expense, net for the same period in 2010. The expense in 2010 was due to the recognition of $2.4 million in unamortized debt issuance costs due to the repayment of borrowings on our bridge loan facility during the third quarter of 2010 in connection with the unsuccessful acquisition bid for Cinterion. The weighted-average interest rate earned by the Company on its cash, cash equivalents and marketable securities was 0.09% and 0.05% in the third quarter of 2011 and 2010, respectively.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Other income (expense), net. </w:t>
      </w:r>
      <w:r>
        <w:rPr>
          <w:rFonts w:ascii="Arial" w:cs="Arial" w:eastAsia="Arial" w:hAnsi="Arial"/>
          <w:sz w:val="16"/>
          <w:szCs w:val="16"/>
          <w:color w:val="auto"/>
        </w:rPr>
        <w:t>Other income (expense), net, for the three months ended September 30, 2011 was $679,000 of expense as compared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$420,000 of income for the same period in 2010. This other expense in 2011 was related to the foreign currency losses on South Korean won denominated trade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payables, foreign exchange currency losses on our foreign denominated bank accounts and trade receivables, and other-than-temporary loss recognized on our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marketable equity securities. The other income, net, in 2010 related to net foreign exchange related gains on our Euro-denominated receivables and cash balances,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 losses on our Euro-denominated foreign exchange forward contracts.</w:t>
      </w:r>
    </w:p>
    <w:p>
      <w:pPr>
        <w:spacing w:after="0" w:line="165"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b w:val="1"/>
          <w:bCs w:val="1"/>
          <w:i w:val="1"/>
          <w:iCs w:val="1"/>
          <w:color w:val="auto"/>
        </w:rPr>
        <w:t xml:space="preserve">Income tax (benefit) expense. </w:t>
      </w:r>
      <w:r>
        <w:rPr>
          <w:rFonts w:ascii="Arial" w:cs="Arial" w:eastAsia="Arial" w:hAnsi="Arial"/>
          <w:sz w:val="16"/>
          <w:szCs w:val="16"/>
          <w:color w:val="auto"/>
        </w:rPr>
        <w:t>Income tax benefit for the three months ended September 30, 2011 was $11.2 million, as compared to $1.1 million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income tax benefit for the same period in 2010. During the three months ended September 30, 2011, the Company released $11.8 million of its liability related to uncertain tax positions due to expiration of the applicable statutes of limitations for certain tax years. Included in our tax benefit for the three months ended September 30, 2010 is a $502,000 tax benefit from the correction of an over-accrual of our liability for uncertain tax positions as of December 2009.</w:t>
      </w:r>
    </w:p>
    <w:p>
      <w:pPr>
        <w:spacing w:after="0" w:line="11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effective tax rate for the three months ended September 30, 2011 is different than the U.S. statutory rate primarily due to a valuation allowance recorded against additional U.S.-based deferred tax assets generated in the third quarter of 2011, and the aforementioned release of liability related to uncertain tax positions.</w:t>
      </w:r>
    </w:p>
    <w:p>
      <w:pPr>
        <w:spacing w:after="0" w:line="14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Net income (loss). </w:t>
      </w:r>
      <w:r>
        <w:rPr>
          <w:rFonts w:ascii="Arial" w:cs="Arial" w:eastAsia="Arial" w:hAnsi="Arial"/>
          <w:sz w:val="18"/>
          <w:szCs w:val="18"/>
          <w:color w:val="auto"/>
        </w:rPr>
        <w:t>For the three months ended September 30, 2011, we reported net income of $4.5 million, as compared to a net loss of $7.1 million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same period in 2010.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2011 Compared to Nine Months Ended September 30, 2010</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Net revenues. </w:t>
      </w:r>
      <w:r>
        <w:rPr>
          <w:rFonts w:ascii="Arial" w:cs="Arial" w:eastAsia="Arial" w:hAnsi="Arial"/>
          <w:sz w:val="18"/>
          <w:szCs w:val="18"/>
          <w:color w:val="auto"/>
        </w:rPr>
        <w:t>Net revenues for the nine months ended September 30, 2011 were $293.1 million, an increase of $73.4 million or 33% compared to the same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in 2010.</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net revenues by reportable segment and product categories during the nine months ended September 30, 2011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2010 (in thousands):</w:t>
      </w:r>
    </w:p>
    <w:p>
      <w:pPr>
        <w:spacing w:after="0" w:line="201" w:lineRule="exact"/>
        <w:rPr>
          <w:sz w:val="20"/>
          <w:szCs w:val="20"/>
          <w:color w:val="auto"/>
        </w:rPr>
      </w:pPr>
    </w:p>
    <w:p>
      <w:pPr>
        <w:jc w:val="center"/>
        <w:ind w:left="8540"/>
        <w:spacing w:after="0"/>
        <w:rPr>
          <w:sz w:val="20"/>
          <w:szCs w:val="20"/>
          <w:color w:val="auto"/>
        </w:rPr>
      </w:pPr>
      <w:r>
        <w:rPr>
          <w:rFonts w:ascii="Arial" w:cs="Arial" w:eastAsia="Arial" w:hAnsi="Arial"/>
          <w:sz w:val="14"/>
          <w:szCs w:val="14"/>
          <w:b w:val="1"/>
          <w:bCs w:val="1"/>
          <w:color w:val="auto"/>
        </w:rPr>
        <w:t>Nine Months Ended</w:t>
      </w:r>
    </w:p>
    <w:p>
      <w:pPr>
        <w:spacing w:after="0" w:line="1" w:lineRule="exact"/>
        <w:rPr>
          <w:sz w:val="20"/>
          <w:szCs w:val="20"/>
          <w:color w:val="auto"/>
        </w:rPr>
      </w:pPr>
    </w:p>
    <w:p>
      <w:pPr>
        <w:jc w:val="center"/>
        <w:ind w:left="8540"/>
        <w:spacing w:after="0"/>
        <w:rPr>
          <w:sz w:val="20"/>
          <w:szCs w:val="20"/>
          <w:color w:val="auto"/>
        </w:rPr>
      </w:pPr>
      <w:r>
        <w:rPr>
          <w:rFonts w:ascii="Arial" w:cs="Arial" w:eastAsia="Arial" w:hAnsi="Arial"/>
          <w:sz w:val="14"/>
          <w:szCs w:val="14"/>
          <w:b w:val="1"/>
          <w:bCs w:val="1"/>
          <w:color w:val="auto"/>
        </w:rPr>
        <w:t>Septembr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5785485</wp:posOffset>
            </wp:positionH>
            <wp:positionV relativeFrom="paragraph">
              <wp:posOffset>-7620</wp:posOffset>
            </wp:positionV>
            <wp:extent cx="11150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4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660" w:type="dxa"/>
            <w:vAlign w:val="bottom"/>
          </w:tcPr>
          <w:p>
            <w:pPr>
              <w:jc w:val="right"/>
              <w:ind w:right="115"/>
              <w:spacing w:after="0"/>
              <w:rPr>
                <w:sz w:val="20"/>
                <w:szCs w:val="20"/>
                <w:color w:val="auto"/>
              </w:rPr>
            </w:pPr>
            <w:r>
              <w:rPr>
                <w:rFonts w:ascii="Arial" w:cs="Arial" w:eastAsia="Arial" w:hAnsi="Arial"/>
                <w:sz w:val="14"/>
                <w:szCs w:val="14"/>
                <w:b w:val="1"/>
                <w:bCs w:val="1"/>
                <w:color w:val="auto"/>
              </w:rPr>
              <w:t>2011</w:t>
            </w:r>
          </w:p>
        </w:tc>
        <w:tc>
          <w:tcPr>
            <w:tcW w:w="108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40" w:type="dxa"/>
            <w:vAlign w:val="bottom"/>
            <w:tcBorders>
              <w:top w:val="single" w:sz="8" w:color="CCEEFF"/>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5"/>
              </w:rPr>
              <w:t>Net revenues by reportable segment:</w:t>
            </w:r>
          </w:p>
        </w:tc>
        <w:tc>
          <w:tcPr>
            <w:tcW w:w="5900" w:type="dxa"/>
            <w:vAlign w:val="bottom"/>
            <w:tcBorders>
              <w:top w:val="single" w:sz="8" w:color="CCEEFF"/>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420" w:type="dxa"/>
            <w:vAlign w:val="bottom"/>
            <w:tcBorders>
              <w:top w:val="single" w:sz="8" w:color="CCEEFF"/>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3"/>
          </w:tcPr>
          <w:p>
            <w:pPr>
              <w:spacing w:after="0"/>
              <w:rPr>
                <w:sz w:val="20"/>
                <w:szCs w:val="20"/>
                <w:color w:val="auto"/>
              </w:rPr>
            </w:pPr>
            <w:r>
              <w:rPr>
                <w:rFonts w:ascii="Arial" w:cs="Arial" w:eastAsia="Arial" w:hAnsi="Arial"/>
                <w:sz w:val="18"/>
                <w:szCs w:val="18"/>
                <w:color w:val="auto"/>
              </w:rPr>
              <w:t>Mobile Computing Products</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$258,268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$219,664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M2M Products and Solutions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34,800</w:t>
            </w:r>
          </w:p>
        </w:tc>
        <w:tc>
          <w:tcPr>
            <w:tcW w:w="4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60" w:type="dxa"/>
            <w:vAlign w:val="bottom"/>
            <w:gridSpan w:val="4"/>
          </w:tcPr>
          <w:p>
            <w:pPr>
              <w:spacing w:after="0"/>
              <w:rPr>
                <w:sz w:val="20"/>
                <w:szCs w:val="20"/>
                <w:color w:val="auto"/>
              </w:rPr>
            </w:pPr>
            <w:r>
              <w:rPr>
                <w:rFonts w:ascii="Arial" w:cs="Arial" w:eastAsia="Arial" w:hAnsi="Arial"/>
                <w:sz w:val="18"/>
                <w:szCs w:val="18"/>
                <w:color w:val="auto"/>
              </w:rPr>
              <w:t>Total</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293,068</w:t>
            </w:r>
          </w:p>
        </w:tc>
        <w:tc>
          <w:tcPr>
            <w:tcW w:w="10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219,664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2680" w:type="dxa"/>
            <w:vAlign w:val="bottom"/>
          </w:tcPr>
          <w:p>
            <w:pPr>
              <w:spacing w:after="0"/>
              <w:rPr>
                <w:sz w:val="8"/>
                <w:szCs w:val="8"/>
                <w:color w:val="auto"/>
              </w:rPr>
            </w:pPr>
          </w:p>
        </w:tc>
        <w:tc>
          <w:tcPr>
            <w:tcW w:w="60" w:type="dxa"/>
            <w:vAlign w:val="bottom"/>
          </w:tcPr>
          <w:p>
            <w:pPr>
              <w:spacing w:after="0"/>
              <w:rPr>
                <w:sz w:val="8"/>
                <w:szCs w:val="8"/>
                <w:color w:val="auto"/>
              </w:rPr>
            </w:pPr>
          </w:p>
        </w:tc>
        <w:tc>
          <w:tcPr>
            <w:tcW w:w="5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6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5"/>
              </w:rPr>
              <w:t>Net revenues by product categories:</w:t>
            </w:r>
          </w:p>
        </w:tc>
        <w:tc>
          <w:tcPr>
            <w:tcW w:w="5960" w:type="dxa"/>
            <w:vAlign w:val="bottom"/>
            <w:tcBorders>
              <w:bottom w:val="single" w:sz="8" w:color="CCEEFF"/>
            </w:tcBorders>
            <w:gridSpan w:val="2"/>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3"/>
          </w:tcPr>
          <w:p>
            <w:pPr>
              <w:spacing w:after="0"/>
              <w:rPr>
                <w:sz w:val="20"/>
                <w:szCs w:val="20"/>
                <w:color w:val="auto"/>
              </w:rPr>
            </w:pPr>
            <w:r>
              <w:rPr>
                <w:rFonts w:ascii="Arial" w:cs="Arial" w:eastAsia="Arial" w:hAnsi="Arial"/>
                <w:sz w:val="18"/>
                <w:szCs w:val="18"/>
                <w:color w:val="auto"/>
              </w:rPr>
              <w:t>Mobile Broadband Devices</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$242,797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$215,512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Embedded Modules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32,073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gridSpan w:val="3"/>
          </w:tcPr>
          <w:p>
            <w:pPr>
              <w:spacing w:after="0"/>
              <w:rPr>
                <w:sz w:val="20"/>
                <w:szCs w:val="20"/>
                <w:color w:val="auto"/>
              </w:rPr>
            </w:pPr>
            <w:r>
              <w:rPr>
                <w:rFonts w:ascii="Arial" w:cs="Arial" w:eastAsia="Arial" w:hAnsi="Arial"/>
                <w:sz w:val="18"/>
                <w:szCs w:val="18"/>
                <w:color w:val="auto"/>
              </w:rPr>
              <w:t>Asset Management Solutions &amp; Services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18,198</w:t>
            </w:r>
          </w:p>
        </w:tc>
        <w:tc>
          <w:tcPr>
            <w:tcW w:w="4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293,068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219,664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360" w:firstLine="456"/>
        <w:spacing w:after="0" w:line="306" w:lineRule="auto"/>
        <w:rPr>
          <w:sz w:val="20"/>
          <w:szCs w:val="20"/>
          <w:color w:val="auto"/>
        </w:rPr>
      </w:pPr>
      <w:r>
        <w:rPr>
          <w:rFonts w:ascii="Arial" w:cs="Arial" w:eastAsia="Arial" w:hAnsi="Arial"/>
          <w:sz w:val="16"/>
          <w:szCs w:val="16"/>
          <w:i w:val="1"/>
          <w:iCs w:val="1"/>
          <w:color w:val="auto"/>
        </w:rPr>
        <w:t xml:space="preserve">Mobile Computing Products. </w:t>
      </w:r>
      <w:r>
        <w:rPr>
          <w:rFonts w:ascii="Arial" w:cs="Arial" w:eastAsia="Arial" w:hAnsi="Arial"/>
          <w:sz w:val="16"/>
          <w:szCs w:val="16"/>
          <w:color w:val="auto"/>
        </w:rPr>
        <w:t>Net revenues from our Mobile Computing Products segment for the nine months ended September 30, 2011 were $258.3</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an increase of $38.6 million or 18% compared to the same period in 2010. The rise in net revenues of our Mobile Computing Products segment was attributable primarily to product rollouts of our next generation 4G products, especially the MiFi Intelligent Mobile Hotspot.</w:t>
      </w:r>
    </w:p>
    <w:p>
      <w:pPr>
        <w:spacing w:after="0" w:line="10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i w:val="1"/>
          <w:iCs w:val="1"/>
          <w:color w:val="auto"/>
        </w:rPr>
        <w:t xml:space="preserve">M2M Products and Solutions. </w:t>
      </w:r>
      <w:r>
        <w:rPr>
          <w:rFonts w:ascii="Arial" w:cs="Arial" w:eastAsia="Arial" w:hAnsi="Arial"/>
          <w:sz w:val="18"/>
          <w:szCs w:val="18"/>
          <w:color w:val="auto"/>
        </w:rPr>
        <w:t>Net revenues from our M2M Products and Solutions segment for the nine months ended September 30, 2011 were $34.8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compared with no net revenues in this segment for the same period last year, as our acquisition of Enfora did not occur until the fourth quarter of 2010. The net revenues consist primarily of GSM embedded modules, and solutions and services.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23" w:name="page24"/>
    <w:bookmarkEnd w:id="23"/>
    <w:p>
      <w:pPr>
        <w:ind w:right="120" w:firstLine="456"/>
        <w:spacing w:after="0" w:line="256"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Product Categories. </w:t>
      </w:r>
      <w:r>
        <w:rPr>
          <w:rFonts w:ascii="Arial" w:cs="Arial" w:eastAsia="Arial" w:hAnsi="Arial"/>
          <w:sz w:val="18"/>
          <w:szCs w:val="18"/>
          <w:color w:val="auto"/>
        </w:rPr>
        <w:t>Net revenues from our Mobile Broadband Devices category for the nine months ended September 30, 2011 were $242.8 million,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$27.3 million or 13% compared to the same period in 2010. The increase in net revenues was primarily driven by the strong demand for our MiFi products amounting to $181.4 million, an increase of $90.8 million or 100% compared to the same period in 2010. USB modems and combination-card products accounted for the rest of the net revenues in our Mobile Broadband Devices segment.</w:t>
      </w:r>
    </w:p>
    <w:p>
      <w:pPr>
        <w:spacing w:after="0" w:line="143"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Net revenues for our Embedded Modules products were $32.1 million, an increase of $29.3 million compared to the same period in 2010. The increase in net revenues was related primarily to the Enfora acquisition and increased sales to OEM customers in the Mobile Computing Products segment.</w:t>
      </w:r>
    </w:p>
    <w:p>
      <w:pPr>
        <w:spacing w:after="0" w:line="8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Net revenues from Asset Management Solutions &amp; Services for the nine months ended September 30, 2011 were $18.2 million, an increase of $16.8 million compared to the same period in 2010. These sales were predominantly comprised of integrated product hardware sales. The increase in net revenues was related to the Enfora acquisition.</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Cost of net revenues. </w:t>
      </w:r>
      <w:r>
        <w:rPr>
          <w:rFonts w:ascii="Arial" w:cs="Arial" w:eastAsia="Arial" w:hAnsi="Arial"/>
          <w:sz w:val="16"/>
          <w:szCs w:val="16"/>
          <w:color w:val="auto"/>
        </w:rPr>
        <w:t>Cost of net revenues for the nine months ended September 30, 2011 was $234.2 million, or 80% of net revenues, as compared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$175.1 million, or 80% of net revenues, for the same period in 2010. Although cost of revenue as a percentage of sales remained relatively flat, costs increased due primarily to the higher sales realized during the nine months ended September 30, 2011 as compared to the same period in 2010. Cost of revenue in 2011 also includes amortization costs of $4.9 million related to purchased intangibles and inventory fair value mark-up related to our Enfora acquisition. Cost of net revenues as a percentage of net revenues is expected to fluctuate in future quarters depending on revenue levels, the mix of products sold, competitive pricing, new product introduction costs and other factors.</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for the nine months ended September 30, 2011 was $58.9 million, or 20% of net revenues, compared to $44.6 million, or 20%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 revenues, for the same period in 2010. While there was no change in gross profit as a percentage of net revenue for the nine months ended September 30, 2011 compared to the same period in 2010, we expect that our gross profit percentage will continue to fluctuate from quarter to quarter depending on revenue levels, product mix, competitive selling prices, our ability to reduce product costs and changes in unit volumes.</w:t>
      </w:r>
    </w:p>
    <w:p>
      <w:pPr>
        <w:spacing w:after="0" w:line="113"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b w:val="1"/>
          <w:bCs w:val="1"/>
          <w:i w:val="1"/>
          <w:iCs w:val="1"/>
          <w:color w:val="auto"/>
        </w:rPr>
        <w:t xml:space="preserve">Research and development expenses. </w:t>
      </w:r>
      <w:r>
        <w:rPr>
          <w:rFonts w:ascii="Arial" w:cs="Arial" w:eastAsia="Arial" w:hAnsi="Arial"/>
          <w:sz w:val="15"/>
          <w:szCs w:val="15"/>
          <w:color w:val="auto"/>
        </w:rPr>
        <w:t>Research and development expenses for the nine months ended September 30, 2011 were $45.5 million, or 16%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net revenues, compared to $34.1 million, or 16% of net revenues, for the same period in 2010. Although expenses remained relatively flat as a percentage of revenue, research and development expenses increased during the nine months ended September 30, 2011 compared to the same period in 2010. The increase was due to our Enfora acquisition in the M2M Products and Solutions segment; and higher salaries and related expenses due to additional engineering headcount, and higher testing and certification fees to support expanded development and 4G product introduction activities in our Mobile Computing Products segment.</w:t>
      </w:r>
    </w:p>
    <w:p>
      <w:pPr>
        <w:spacing w:after="0" w:line="100" w:lineRule="exact"/>
        <w:rPr>
          <w:sz w:val="20"/>
          <w:szCs w:val="20"/>
          <w:color w:val="auto"/>
        </w:rPr>
      </w:pPr>
    </w:p>
    <w:p>
      <w:pPr>
        <w:ind w:right="460" w:firstLine="456"/>
        <w:spacing w:after="0" w:line="298" w:lineRule="auto"/>
        <w:rPr>
          <w:sz w:val="20"/>
          <w:szCs w:val="20"/>
          <w:color w:val="auto"/>
        </w:rPr>
      </w:pPr>
      <w:r>
        <w:rPr>
          <w:rFonts w:ascii="Arial" w:cs="Arial" w:eastAsia="Arial" w:hAnsi="Arial"/>
          <w:sz w:val="16"/>
          <w:szCs w:val="16"/>
          <w:color w:val="auto"/>
        </w:rPr>
        <w:t>We expect to maintain or increase our investment in research and development to continue to provide innovative products and services. Research and development expenses as a percentage of net revenues are expected to fluctuate in future quarters depending on the amount of net revenues recognized, and potential variation in the costs associated with the development of the Company’s products, including the number and complexity of the products under development and the progress of the development activities with respect to those products.</w:t>
      </w:r>
    </w:p>
    <w:p>
      <w:pPr>
        <w:spacing w:after="0" w:line="11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Sales and marketing expenses. </w:t>
      </w:r>
      <w:r>
        <w:rPr>
          <w:rFonts w:ascii="Arial" w:cs="Arial" w:eastAsia="Arial" w:hAnsi="Arial"/>
          <w:sz w:val="18"/>
          <w:szCs w:val="18"/>
          <w:color w:val="auto"/>
        </w:rPr>
        <w:t>Sales and marketing expenses for the nine months ended September 30, 2011 were $22.8 million, or 8% of net revenues,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$15.3 million, or 7% of net revenues, for the same period in 2010. The increase for the nine months ended September 30, 2011 compared to the same period in 2010 was due to our Enfora acquisition, and higher salaries and related expenses, and increased marketing expenses in our Mobile Computing Products segment.</w:t>
      </w:r>
    </w:p>
    <w:p>
      <w:pPr>
        <w:spacing w:after="0" w:line="143" w:lineRule="exact"/>
        <w:rPr>
          <w:sz w:val="20"/>
          <w:szCs w:val="20"/>
          <w:color w:val="auto"/>
        </w:rPr>
      </w:pPr>
    </w:p>
    <w:p>
      <w:pPr>
        <w:jc w:val="both"/>
        <w:ind w:right="220" w:firstLine="456"/>
        <w:spacing w:after="0" w:line="332" w:lineRule="auto"/>
        <w:rPr>
          <w:sz w:val="20"/>
          <w:szCs w:val="20"/>
          <w:color w:val="auto"/>
        </w:rPr>
      </w:pPr>
      <w:r>
        <w:rPr>
          <w:rFonts w:ascii="Arial" w:cs="Arial" w:eastAsia="Arial" w:hAnsi="Arial"/>
          <w:sz w:val="16"/>
          <w:szCs w:val="16"/>
          <w:color w:val="auto"/>
        </w:rPr>
        <w:t>While managing sales and marketing expenses relative to net revenues, we expect to continue to make selected investments in sales and marketing as we introduce new products, market existing products, expand our distribution channels and focus on key customers around the world.</w:t>
      </w:r>
    </w:p>
    <w:p>
      <w:pPr>
        <w:spacing w:after="0" w:line="85"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for the nine months ended September 30, 2011 were $16.6 million, or 6%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revenues, compared to $14.3 million, or 7% of net revenues, for the same period in 2010. The increase in expenses for the 2011 period was due primarily to our acquisition of Enfora.</w:t>
      </w:r>
    </w:p>
    <w:p>
      <w:pPr>
        <w:spacing w:after="0" w:line="14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While we are closely monitoring and undertaking to control general and administrative costs, we expect these costs to be negatively impacted by legal fees incurred by the Company to defend the claims described in Note 9 to our Consolidated Financial Statements included in this report.</w:t>
      </w:r>
    </w:p>
    <w:p>
      <w:pPr>
        <w:spacing w:after="0" w:line="79" w:lineRule="exact"/>
        <w:rPr>
          <w:sz w:val="20"/>
          <w:szCs w:val="20"/>
          <w:color w:val="auto"/>
        </w:rPr>
      </w:pPr>
    </w:p>
    <w:p>
      <w:pPr>
        <w:ind w:right="700" w:firstLine="456"/>
        <w:spacing w:after="0" w:line="275" w:lineRule="auto"/>
        <w:rPr>
          <w:sz w:val="20"/>
          <w:szCs w:val="20"/>
          <w:color w:val="auto"/>
        </w:rPr>
      </w:pPr>
      <w:r>
        <w:rPr>
          <w:rFonts w:ascii="Arial" w:cs="Arial" w:eastAsia="Arial" w:hAnsi="Arial"/>
          <w:sz w:val="18"/>
          <w:szCs w:val="18"/>
          <w:b w:val="1"/>
          <w:bCs w:val="1"/>
          <w:i w:val="1"/>
          <w:iCs w:val="1"/>
          <w:color w:val="auto"/>
        </w:rPr>
        <w:t>Amortization of purchased intangible assets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increase in amortization expense for the nine months ended September 30, 2011 was due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amortization of purchased intangible assets from the Enfora acquisition completed during the fourth quarter of</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24" w:name="page25"/>
    <w:bookmarkEnd w:id="24"/>
    <w:p>
      <w:pPr>
        <w:ind w:right="1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2010. During the third quarter of 2011, we corrected the purchase price allocation of our purchased intangible assets which resulted in $173,000 of reduced amortization expense during the same period which is described in Note 1 under “</w:t>
      </w:r>
      <w:r>
        <w:rPr>
          <w:rFonts w:ascii="Arial" w:cs="Arial" w:eastAsia="Arial" w:hAnsi="Arial"/>
          <w:sz w:val="16"/>
          <w:szCs w:val="16"/>
          <w:i w:val="1"/>
          <w:iCs w:val="1"/>
          <w:color w:val="auto"/>
        </w:rPr>
        <w:t>Prior Period Adjustments</w:t>
      </w:r>
      <w:r>
        <w:rPr>
          <w:rFonts w:ascii="Arial" w:cs="Arial" w:eastAsia="Arial" w:hAnsi="Arial"/>
          <w:sz w:val="16"/>
          <w:szCs w:val="16"/>
          <w:color w:val="auto"/>
        </w:rPr>
        <w:t>” of the Notes to Consolidated Financial Statements.</w:t>
      </w:r>
    </w:p>
    <w:p>
      <w:pPr>
        <w:spacing w:after="0" w:line="7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i w:val="1"/>
          <w:iCs w:val="1"/>
          <w:color w:val="auto"/>
        </w:rPr>
        <w:t>Goodwill impairment loss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During the third quarter of 2011, we performed an interim assessment of impairment for goodwill. As a result of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assessment, which is described in Note 5 of the Notes to Consolidated Financial Statements, we recorded an estimated non-cash goodwill impairment charge of $3.5 million related to the M2M reporting unit. The fair value of the M2M reporting unit was estimated with the assistance of an independent third-party appraisal. As of November 9, 2011, the Company has not finalized its review of this impairment analysis due to the limited time period from the first indication of potential impairment to the date of this filing and the complexities involved in estimating the fair value of certain assets and liabilities. Any adjustment to that estimated charge resulting from the completion of the measurement of the impairment loss will be recognized in the fourth quarter of 2011.</w:t>
      </w:r>
    </w:p>
    <w:p>
      <w:pPr>
        <w:spacing w:after="0" w:line="117" w:lineRule="exact"/>
        <w:rPr>
          <w:sz w:val="20"/>
          <w:szCs w:val="20"/>
          <w:color w:val="auto"/>
        </w:rPr>
      </w:pPr>
    </w:p>
    <w:p>
      <w:pPr>
        <w:ind w:right="160" w:firstLine="456"/>
        <w:spacing w:after="0" w:line="318" w:lineRule="auto"/>
        <w:rPr>
          <w:sz w:val="20"/>
          <w:szCs w:val="20"/>
          <w:color w:val="auto"/>
        </w:rPr>
      </w:pPr>
      <w:r>
        <w:rPr>
          <w:rFonts w:ascii="Arial" w:cs="Arial" w:eastAsia="Arial" w:hAnsi="Arial"/>
          <w:sz w:val="15"/>
          <w:szCs w:val="15"/>
          <w:b w:val="1"/>
          <w:bCs w:val="1"/>
          <w:i w:val="1"/>
          <w:iCs w:val="1"/>
          <w:color w:val="auto"/>
        </w:rPr>
        <w:t xml:space="preserve">Interest income (expense), net. </w:t>
      </w:r>
      <w:r>
        <w:rPr>
          <w:rFonts w:ascii="Arial" w:cs="Arial" w:eastAsia="Arial" w:hAnsi="Arial"/>
          <w:sz w:val="15"/>
          <w:szCs w:val="15"/>
          <w:color w:val="auto"/>
        </w:rPr>
        <w:t>Interest income (expense), net, for the nine months ended September 30, 2011 was $303,000 of income as compared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$2.7 million of expense, net for the same period in 2010. The interest income, net, in 2011 was primarily related to interest income earned on our short and long term marketable securities. The net interest expense in 2010 was related to the recognition of unamortized debt issuance costs in connection with our repayment and termination of the bridge loan facility during the third quarter of 2010 associated with our attempted acquisition of Cinterion. The weighted-average interest rate earned by the Company on its cash, cash equivalents and marketable securities was 0.38% and 0.13% in the nine months of 2011 and 2010, respectively.</w:t>
      </w:r>
    </w:p>
    <w:p>
      <w:pPr>
        <w:spacing w:after="0" w:line="10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i w:val="1"/>
          <w:iCs w:val="1"/>
          <w:color w:val="auto"/>
        </w:rPr>
        <w:t xml:space="preserve">Other income (expense), net. </w:t>
      </w:r>
      <w:r>
        <w:rPr>
          <w:rFonts w:ascii="Arial" w:cs="Arial" w:eastAsia="Arial" w:hAnsi="Arial"/>
          <w:sz w:val="16"/>
          <w:szCs w:val="16"/>
          <w:color w:val="auto"/>
        </w:rPr>
        <w:t>Other income (expense), net, for the nine months ended September 30, 2011 was $1.2 million of expense as compared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$1.7 million of income for the same period in 2010. The other expense in 2011 related to foreign currency losses on South Korean won denominated trade payables, and an other-than-temporary loss realized on our marketable equity securities. The other income, net, in 2010 was primarily driven by a $2.9 million foreign exchange gain realized upon conversion of the Euro-denominated bid funds into U.S. dollars in July 2010 at the conclusion of the bidding process for Cinterion. This gain was offset by $1.2 million in premiums paid for protective put options we utilized to hedge our Euro exposure during the bidding process for Cinterion in the second quarter of 2010. These puts expired unexercised on June 25, 2010.</w:t>
      </w:r>
    </w:p>
    <w:p>
      <w:pPr>
        <w:spacing w:after="0" w:line="12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b w:val="1"/>
          <w:bCs w:val="1"/>
          <w:i w:val="1"/>
          <w:iCs w:val="1"/>
          <w:color w:val="auto"/>
        </w:rPr>
        <w:t xml:space="preserve">Income tax (benefit) expense. </w:t>
      </w:r>
      <w:r>
        <w:rPr>
          <w:rFonts w:ascii="Arial" w:cs="Arial" w:eastAsia="Arial" w:hAnsi="Arial"/>
          <w:sz w:val="18"/>
          <w:szCs w:val="18"/>
          <w:color w:val="auto"/>
        </w:rPr>
        <w:t>Income tax benefit for the nine months ended September 30, 2011 was $10.6 million, as compared to $12.4 million of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for the same period in 2010. During the nine months ended September 30, 2011, the Company released $11.8 million of its liability related to uncertain tax positions due to expiration of the applicable statutes of limitations for certain tax years. During the second quarter of 2010, the Company recorded a $14.8 million valuation allowance against its U.S.-based deferred tax assets.</w:t>
      </w:r>
    </w:p>
    <w:p>
      <w:pPr>
        <w:spacing w:after="0" w:line="143" w:lineRule="exact"/>
        <w:rPr>
          <w:sz w:val="20"/>
          <w:szCs w:val="20"/>
          <w:color w:val="auto"/>
        </w:rPr>
      </w:pPr>
    </w:p>
    <w:p>
      <w:pPr>
        <w:jc w:val="both"/>
        <w:ind w:right="660" w:firstLine="456"/>
        <w:spacing w:after="0" w:line="259" w:lineRule="auto"/>
        <w:rPr>
          <w:sz w:val="20"/>
          <w:szCs w:val="20"/>
          <w:color w:val="auto"/>
        </w:rPr>
      </w:pPr>
      <w:r>
        <w:rPr>
          <w:rFonts w:ascii="Arial" w:cs="Arial" w:eastAsia="Arial" w:hAnsi="Arial"/>
          <w:sz w:val="18"/>
          <w:szCs w:val="18"/>
          <w:color w:val="auto"/>
        </w:rPr>
        <w:t>The effective tax rate for the nine months ended September 30, 2011 is different than the U.S. statutory rate primarily due to a valuation allowance recorded against additional U.S.-based deferred tax assets generated in the first nine months of 2011 and the aforementioned release of liability related to uncertain tax positions.</w:t>
      </w:r>
    </w:p>
    <w:p>
      <w:pPr>
        <w:spacing w:after="0" w:line="14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b w:val="1"/>
          <w:bCs w:val="1"/>
          <w:i w:val="1"/>
          <w:iCs w:val="1"/>
          <w:color w:val="auto"/>
        </w:rPr>
        <w:t xml:space="preserve">Net loss. </w:t>
      </w:r>
      <w:r>
        <w:rPr>
          <w:rFonts w:ascii="Arial" w:cs="Arial" w:eastAsia="Arial" w:hAnsi="Arial"/>
          <w:sz w:val="16"/>
          <w:szCs w:val="16"/>
          <w:color w:val="auto"/>
        </w:rPr>
        <w:t>For the nine months ended September 30, 2011, we reported a net loss of $21.5 million, as compared to a net loss of $32.5 million for the same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in 2010. The improvement was due to the tax adjustments in both years that are discussed above. Excluding these tax adjustments, net income was negatively impacted due to a substantial decline in revenues in the first quarter of 2011 and increases in operating expenses as discussed above.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sources of liquidity are our existing cash, cash equivalents and marketable securities and cash generated from operations.</w:t>
      </w:r>
    </w:p>
    <w:p>
      <w:pPr>
        <w:spacing w:after="0" w:line="17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To address short term liquidity requirements resulting from working capital changes as we continued launching our 4G products, in July 2011, the Company entered into a margin credit facility with a bank. The use of this margin credit facility allows the Company to meet short-term cash requirements and avoid selling cash equivalents and marketable securities. Borrowings under this facility are collateralized by Company cash equivalents and marketable securities on deposit at the bank. During the three months ended September 30, 2011, we borrowed approximately $12.0 million and subsequently repaid all amounts in the same period. At September 30, 2011, the Company had no outstanding borrowings under this facility.</w:t>
      </w:r>
    </w:p>
    <w:p>
      <w:pPr>
        <w:spacing w:after="0" w:line="116"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We presently believe that our cash, cash equivalents, and marketable securities, together with anticipated cash flows from operations, will be sufficient to meet our working capital needs for the next 12 months. Our liquidity could be impaired if there is a material interruption of our business operations, a material failure to satisfy our contractual commitments or a failure to generate adequate revenue from our new and existing products.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25" w:name="page26"/>
    <w:bookmarkEnd w:id="25"/>
    <w:p>
      <w:pPr>
        <w:ind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September 2009, we filed a shelf registration statement with the Securities and Exchange Commission (“SEC”) that will allow us to sell up to $125.0 million of equity, debt or other securities described in the registration statement in one or more offerings by us from time to time. As set forth in the shelf registration statement, the net proceeds from the sale of our securities may be used for general corporate purposes, including working capital, capital expenditures and acquisitions. As of the date of this report, we had not issued any securities under this registration statement.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Working Capital, Cash and Cash Equivalents and Marketable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working capital, cash and cash equivalents and marketable securities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3"/>
              </w:rPr>
              <w:t>September 30,</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96"/>
              <w:spacing w:after="0" w:line="149" w:lineRule="exact"/>
              <w:rPr>
                <w:sz w:val="20"/>
                <w:szCs w:val="20"/>
                <w:color w:val="auto"/>
              </w:rPr>
            </w:pPr>
            <w:r>
              <w:rPr>
                <w:rFonts w:ascii="Arial" w:cs="Arial" w:eastAsia="Arial" w:hAnsi="Arial"/>
                <w:sz w:val="14"/>
                <w:szCs w:val="14"/>
                <w:b w:val="1"/>
                <w:bCs w:val="1"/>
                <w:color w:val="auto"/>
              </w:rPr>
              <w:t>2011</w:t>
            </w:r>
          </w:p>
        </w:tc>
        <w:tc>
          <w:tcPr>
            <w:tcW w:w="76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4"/>
              </w:rPr>
              <w:t>December 31,</w:t>
            </w:r>
          </w:p>
        </w:tc>
      </w:tr>
      <w:tr>
        <w:trPr>
          <w:trHeight w:val="161"/>
        </w:trPr>
        <w:tc>
          <w:tcPr>
            <w:tcW w:w="460" w:type="dxa"/>
            <w:vAlign w:val="bottom"/>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5340" w:type="dxa"/>
            <w:vAlign w:val="bottom"/>
            <w:tcBorders>
              <w:bottom w:val="single" w:sz="8" w:color="CCEEFF"/>
            </w:tcBorders>
          </w:tcPr>
          <w:p>
            <w:pPr>
              <w:spacing w:after="0"/>
              <w:rPr>
                <w:sz w:val="14"/>
                <w:szCs w:val="14"/>
                <w:color w:val="auto"/>
              </w:rPr>
            </w:pPr>
          </w:p>
        </w:tc>
        <w:tc>
          <w:tcPr>
            <w:tcW w:w="19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(unaudited)</w:t>
            </w:r>
          </w:p>
        </w:tc>
        <w:tc>
          <w:tcPr>
            <w:tcW w:w="7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210"/>
        </w:trPr>
        <w:tc>
          <w:tcPr>
            <w:tcW w:w="460" w:type="dxa"/>
            <w:vAlign w:val="bottom"/>
          </w:tcPr>
          <w:p>
            <w:pPr>
              <w:spacing w:after="0"/>
              <w:rPr>
                <w:sz w:val="18"/>
                <w:szCs w:val="18"/>
                <w:color w:val="auto"/>
              </w:rPr>
            </w:pPr>
          </w:p>
        </w:tc>
        <w:tc>
          <w:tcPr>
            <w:tcW w:w="60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Working capital</w:t>
            </w:r>
            <w:r>
              <w:rPr>
                <w:rFonts w:ascii="Arial" w:cs="Arial" w:eastAsia="Arial" w:hAnsi="Arial"/>
                <w:sz w:val="11"/>
                <w:szCs w:val="11"/>
                <w:color w:val="auto"/>
              </w:rPr>
              <w:t>(1)</w:t>
            </w:r>
          </w:p>
        </w:tc>
        <w:tc>
          <w:tcPr>
            <w:tcW w:w="19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80,934</w:t>
            </w:r>
          </w:p>
        </w:tc>
        <w:tc>
          <w:tcPr>
            <w:tcW w:w="7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87,174</w:t>
            </w:r>
          </w:p>
        </w:tc>
        <w:tc>
          <w:tcPr>
            <w:tcW w:w="100" w:type="dxa"/>
            <w:vAlign w:val="bottom"/>
            <w:shd w:val="clear" w:color="auto" w:fill="CCEEFF"/>
          </w:tcPr>
          <w:p>
            <w:pPr>
              <w:spacing w:after="0"/>
              <w:rPr>
                <w:sz w:val="18"/>
                <w:szCs w:val="18"/>
                <w:color w:val="auto"/>
              </w:rPr>
            </w:pPr>
          </w:p>
        </w:tc>
      </w:tr>
      <w:tr>
        <w:trPr>
          <w:trHeight w:val="20"/>
        </w:trPr>
        <w:tc>
          <w:tcPr>
            <w:tcW w:w="1160" w:type="dxa"/>
            <w:vAlign w:val="bottom"/>
            <w:gridSpan w:val="2"/>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6"/>
        </w:trPr>
        <w:tc>
          <w:tcPr>
            <w:tcW w:w="6500" w:type="dxa"/>
            <w:vAlign w:val="bottom"/>
            <w:gridSpan w:val="3"/>
          </w:tcPr>
          <w:p>
            <w:pPr>
              <w:ind w:left="460"/>
              <w:spacing w:after="0"/>
              <w:rPr>
                <w:sz w:val="20"/>
                <w:szCs w:val="20"/>
                <w:color w:val="auto"/>
              </w:rPr>
            </w:pPr>
            <w:r>
              <w:rPr>
                <w:rFonts w:ascii="Arial" w:cs="Arial" w:eastAsia="Arial" w:hAnsi="Arial"/>
                <w:sz w:val="18"/>
                <w:szCs w:val="18"/>
                <w:color w:val="auto"/>
              </w:rPr>
              <w:t xml:space="preserve">Cash and cash equivalents </w:t>
            </w:r>
            <w:r>
              <w:rPr>
                <w:rFonts w:ascii="Arial" w:cs="Arial" w:eastAsia="Arial" w:hAnsi="Arial"/>
                <w:sz w:val="11"/>
                <w:szCs w:val="11"/>
                <w:color w:val="auto"/>
              </w:rPr>
              <w:t>(2)</w:t>
            </w:r>
          </w:p>
        </w:tc>
        <w:tc>
          <w:tcPr>
            <w:tcW w:w="2160" w:type="dxa"/>
            <w:vAlign w:val="bottom"/>
            <w:gridSpan w:val="2"/>
          </w:tcPr>
          <w:p>
            <w:pPr>
              <w:ind w:left="19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21,927</w:t>
            </w:r>
          </w:p>
        </w:tc>
        <w:tc>
          <w:tcPr>
            <w:tcW w:w="9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17,375</w:t>
            </w:r>
          </w:p>
        </w:tc>
        <w:tc>
          <w:tcPr>
            <w:tcW w:w="100" w:type="dxa"/>
            <w:vAlign w:val="bottom"/>
          </w:tcPr>
          <w:p>
            <w:pPr>
              <w:spacing w:after="0"/>
              <w:rPr>
                <w:sz w:val="24"/>
                <w:szCs w:val="24"/>
                <w:color w:val="auto"/>
              </w:rPr>
            </w:pPr>
          </w:p>
        </w:tc>
      </w:tr>
      <w:tr>
        <w:trPr>
          <w:trHeight w:val="218"/>
        </w:trPr>
        <w:tc>
          <w:tcPr>
            <w:tcW w:w="46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Short-term marketable securities </w:t>
            </w:r>
            <w:r>
              <w:rPr>
                <w:rFonts w:ascii="Arial" w:cs="Arial" w:eastAsia="Arial" w:hAnsi="Arial"/>
                <w:sz w:val="11"/>
                <w:szCs w:val="11"/>
                <w:color w:val="auto"/>
              </w:rPr>
              <w:t>(2)</w:t>
            </w: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33,391</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59,775</w:t>
            </w:r>
          </w:p>
        </w:tc>
        <w:tc>
          <w:tcPr>
            <w:tcW w:w="100" w:type="dxa"/>
            <w:vAlign w:val="bottom"/>
            <w:shd w:val="clear" w:color="auto" w:fill="CCEEFF"/>
          </w:tcPr>
          <w:p>
            <w:pPr>
              <w:spacing w:after="0"/>
              <w:rPr>
                <w:sz w:val="18"/>
                <w:szCs w:val="18"/>
                <w:color w:val="auto"/>
              </w:rPr>
            </w:pPr>
          </w:p>
        </w:tc>
      </w:tr>
      <w:tr>
        <w:trPr>
          <w:trHeight w:val="223"/>
        </w:trPr>
        <w:tc>
          <w:tcPr>
            <w:tcW w:w="46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Long-term marketable securities</w:t>
            </w:r>
          </w:p>
        </w:tc>
        <w:tc>
          <w:tcPr>
            <w:tcW w:w="19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9,101</w:t>
            </w:r>
          </w:p>
        </w:tc>
        <w:tc>
          <w:tcPr>
            <w:tcW w:w="7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20,676</w:t>
            </w:r>
          </w:p>
        </w:tc>
        <w:tc>
          <w:tcPr>
            <w:tcW w:w="10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cash and cash equivalents and marketable securities</w:t>
            </w:r>
          </w:p>
        </w:tc>
        <w:tc>
          <w:tcPr>
            <w:tcW w:w="216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64,419</w:t>
            </w:r>
          </w:p>
        </w:tc>
        <w:tc>
          <w:tcPr>
            <w:tcW w:w="9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97,826</w:t>
            </w:r>
          </w:p>
        </w:tc>
        <w:tc>
          <w:tcPr>
            <w:tcW w:w="100" w:type="dxa"/>
            <w:vAlign w:val="bottom"/>
            <w:shd w:val="clear" w:color="auto" w:fill="CCEEFF"/>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34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Working capital is defined as the excess of current assets over current liabilities.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Included in working capital.</w:t>
      </w:r>
    </w:p>
    <w:p>
      <w:pPr>
        <w:spacing w:after="0" w:line="165"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Our working capital decreased $6.2 million from December 31, 2010 to September 30, 2011. The decrease was primarily due to the operating loss in the nine months ended September 30, 2011. Our working capital was also affected by the expanded development of our 4G products.</w:t>
      </w:r>
    </w:p>
    <w:p>
      <w:pPr>
        <w:spacing w:after="0" w:line="85" w:lineRule="exact"/>
        <w:rPr>
          <w:sz w:val="20"/>
          <w:szCs w:val="20"/>
          <w:color w:val="auto"/>
        </w:rPr>
      </w:pPr>
    </w:p>
    <w:p>
      <w:pPr>
        <w:ind w:right="580" w:firstLine="456"/>
        <w:spacing w:after="0" w:line="259" w:lineRule="auto"/>
        <w:rPr>
          <w:sz w:val="20"/>
          <w:szCs w:val="20"/>
          <w:color w:val="auto"/>
        </w:rPr>
      </w:pPr>
      <w:r>
        <w:rPr>
          <w:rFonts w:ascii="Arial" w:cs="Arial" w:eastAsia="Arial" w:hAnsi="Arial"/>
          <w:sz w:val="18"/>
          <w:szCs w:val="18"/>
          <w:color w:val="auto"/>
        </w:rPr>
        <w:t>As of September 30, 2011, cash and cash equivalents and marketable securities decreased by $33.4 million from December 31, 2010. The principal component of this net decrease was the cash used by our operating activities of $26.7 million, and cash used to pay for acquisition of property, plant and equipment of $4.9 million.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280" w:right="279" w:bottom="1440" w:gutter="0" w:footer="0" w:header="0"/>
        </w:sectPr>
      </w:pPr>
    </w:p>
    <w:bookmarkStart w:id="26" w:name="page27"/>
    <w:bookmarkEnd w:id="26"/>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Historical Cash Flows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consolidated statements of cash flows for the periods indicated (in thousands):</w:t>
      </w:r>
    </w:p>
    <w:p>
      <w:pPr>
        <w:spacing w:after="0" w:line="207" w:lineRule="exact"/>
        <w:rPr>
          <w:sz w:val="20"/>
          <w:szCs w:val="20"/>
          <w:color w:val="auto"/>
        </w:rPr>
      </w:pPr>
    </w:p>
    <w:p>
      <w:pPr>
        <w:jc w:val="center"/>
        <w:ind w:left="8540"/>
        <w:spacing w:after="0"/>
        <w:rPr>
          <w:sz w:val="20"/>
          <w:szCs w:val="20"/>
          <w:color w:val="auto"/>
        </w:rPr>
      </w:pPr>
      <w:r>
        <w:rPr>
          <w:rFonts w:ascii="Arial" w:cs="Arial" w:eastAsia="Arial" w:hAnsi="Arial"/>
          <w:sz w:val="14"/>
          <w:szCs w:val="14"/>
          <w:b w:val="1"/>
          <w:bCs w:val="1"/>
          <w:color w:val="auto"/>
        </w:rPr>
        <w:t>Nine Months Ended</w:t>
      </w:r>
    </w:p>
    <w:p>
      <w:pPr>
        <w:spacing w:after="0" w:line="1" w:lineRule="exact"/>
        <w:rPr>
          <w:sz w:val="20"/>
          <w:szCs w:val="20"/>
          <w:color w:val="auto"/>
        </w:rPr>
      </w:pPr>
    </w:p>
    <w:p>
      <w:pPr>
        <w:jc w:val="center"/>
        <w:ind w:left="85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5785485</wp:posOffset>
            </wp:positionH>
            <wp:positionV relativeFrom="paragraph">
              <wp:posOffset>-7620</wp:posOffset>
            </wp:positionV>
            <wp:extent cx="11061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4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4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(used in) operating activities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5"/>
              </w:rPr>
              <w:t>$ (26,702)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Net cash provided by investing activities</w:t>
            </w:r>
          </w:p>
        </w:tc>
        <w:tc>
          <w:tcPr>
            <w:tcW w:w="640" w:type="dxa"/>
            <w:vAlign w:val="bottom"/>
          </w:tcPr>
          <w:p>
            <w:pPr>
              <w:jc w:val="right"/>
              <w:spacing w:after="0"/>
              <w:rPr>
                <w:sz w:val="20"/>
                <w:szCs w:val="20"/>
                <w:color w:val="auto"/>
              </w:rPr>
            </w:pPr>
            <w:r>
              <w:rPr>
                <w:rFonts w:ascii="Arial" w:cs="Arial" w:eastAsia="Arial" w:hAnsi="Arial"/>
                <w:sz w:val="18"/>
                <w:szCs w:val="18"/>
                <w:color w:val="auto"/>
              </w:rPr>
              <w:t>32,026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3,483</w:t>
            </w: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(2,021)</w:t>
            </w:r>
          </w:p>
        </w:tc>
      </w:tr>
      <w:tr>
        <w:trPr>
          <w:trHeight w:val="223"/>
        </w:trPr>
        <w:tc>
          <w:tcPr>
            <w:tcW w:w="20" w:type="dxa"/>
            <w:vAlign w:val="bottom"/>
          </w:tcPr>
          <w:p>
            <w:pPr>
              <w:spacing w:after="0"/>
              <w:rPr>
                <w:sz w:val="19"/>
                <w:szCs w:val="19"/>
                <w:color w:val="auto"/>
              </w:rPr>
            </w:pPr>
          </w:p>
        </w:tc>
        <w:tc>
          <w:tcPr>
            <w:tcW w:w="8640" w:type="dxa"/>
            <w:vAlign w:val="bottom"/>
          </w:tcPr>
          <w:p>
            <w:pPr>
              <w:jc w:val="center"/>
              <w:ind w:right="3952"/>
              <w:spacing w:after="0"/>
              <w:rPr>
                <w:sz w:val="20"/>
                <w:szCs w:val="20"/>
                <w:color w:val="auto"/>
              </w:rPr>
            </w:pPr>
            <w:r>
              <w:rPr>
                <w:rFonts w:ascii="Arial" w:cs="Arial" w:eastAsia="Arial" w:hAnsi="Arial"/>
                <w:sz w:val="18"/>
                <w:szCs w:val="18"/>
                <w:color w:val="auto"/>
                <w:w w:val="86"/>
              </w:rPr>
              <w:t>Effect of exchange rates on cash and cash equivalents</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682</w:t>
            </w: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jc w:val="center"/>
              <w:ind w:right="3932"/>
              <w:spacing w:after="0"/>
              <w:rPr>
                <w:sz w:val="20"/>
                <w:szCs w:val="20"/>
                <w:color w:val="auto"/>
              </w:rPr>
            </w:pPr>
            <w:r>
              <w:rPr>
                <w:rFonts w:ascii="Arial" w:cs="Arial" w:eastAsia="Arial" w:hAnsi="Arial"/>
                <w:sz w:val="18"/>
                <w:szCs w:val="18"/>
                <w:color w:val="auto"/>
                <w:w w:val="85"/>
              </w:rPr>
              <w:t>Net increase in cash and cash equivalents</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16,092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17,375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100,025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$ 21,927</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116,117</w:t>
            </w: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 xml:space="preserve">Operating activities. </w:t>
      </w:r>
      <w:r>
        <w:rPr>
          <w:rFonts w:ascii="Arial" w:cs="Arial" w:eastAsia="Arial" w:hAnsi="Arial"/>
          <w:sz w:val="16"/>
          <w:szCs w:val="16"/>
          <w:color w:val="auto"/>
        </w:rPr>
        <w:t>Net cash used in operating activities was $26.7 million for the nine months ended September 30, 2011 as compared to net cash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provided by operating activities of $13.9 million for the same period in 2010. Net cash used in operating activities for the nine months ended September 30, 2011 was primarily attributable to the unfavorable impact of a significant reduction in accounts payable as we paid for products purchased in the fourth quarter of 2010 to support the higher fourth quarter 2010 sales activity, and an increase in our inventory at the end of third quarter 2011. The unfavorable impact during the nine months ended September 30, 2011 was partially offset by the net cash collected from accounts receivable, and non-cash charges including depreciation and amortization, goodwill impairment loss and share-based compensation. During the same period in 2010, the difference between our net loss of $32.5 million and our net cash provided by operating activities of $13.9 million was primarily due to the cash provided by working capital changes and non-cash charges, including changes in our valuation allowance for deferred tax assets, depreciation, amortization and share-based compensation.</w:t>
      </w:r>
    </w:p>
    <w:p>
      <w:pPr>
        <w:spacing w:after="0" w:line="11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Net cash provided by investing activities during the nine months ended September 30, 2011 was $32.0 million compared to $3.5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net cash provided during the same period in 2010. Cash provided by investing activities during the nine months ended September 30, 2011 was related to net sales of marketable securities of $37.2 million, partially offset by purchases of property, plant, and equipment for approximately $4.9 million. Net cash provided by investing activities in the nine months ended September 30, 2010 was primarily related to net sales within our investment portfolio in conjunction with our participation in the Cinterion bidding process.</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b w:val="1"/>
          <w:bCs w:val="1"/>
          <w:i w:val="1"/>
          <w:iCs w:val="1"/>
          <w:color w:val="auto"/>
        </w:rPr>
        <w:t xml:space="preserve">Financing activities. </w:t>
      </w:r>
      <w:r>
        <w:rPr>
          <w:rFonts w:ascii="Arial" w:cs="Arial" w:eastAsia="Arial" w:hAnsi="Arial"/>
          <w:sz w:val="16"/>
          <w:szCs w:val="16"/>
          <w:color w:val="auto"/>
        </w:rPr>
        <w:t>Net cash used in financing activities during the nine months ended September 30, 2011 was $698,000, compared to $2.0 million used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during the same period in 2010. Net cash used in financing activities in 2011 was primarily related to taxes paid on behalf of employees for restricted stock units which vested. During the three months ended September 30, 2011, we borrowed and repaid $12.0 million on our credit facility. Net cash used in financing activities in the nine months ended September 30, 2010 was primarily due to the $30.0 million principal repayment of the short-term bridge loan facility on July 1, 2010, offset by the $27.8 million in net proceeds from the same debt facility.</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Liquidity Needs</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expect to incur ongoing professional fees and expenses to defend litigation filed against us or related to our products, which litigation is discussed in Note 9 to our consolidated financial statements included in this report. These costs cannot be estimated at this time.</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During the next twelve months, we currently plan to incur approximately $11.0 million for discretionary capital expenditures, including the acquisition of additional software licenses.</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We believe our cash resources from cash and cash equivalents and marketable securities, together with anticipated cash flows from operations, will be sufficient to meet our working capital needs for the next twelve months.</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Our liquidity could be impaired if there is any interruption in our business operations, a material failure to satisfy our contractual commitments or a failure to generate revenue from new or existing products.</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may raise additional funds to accelerate development of new and existing services and products, to respond to competitive pressures or to acquire complementary products, businesses or technologies. There can be no assurance that any required additional financing will be available on terms favorable to us, or at all. If additional funds are raised by the issuance of equity securities, our shareholders could experience dilution of their ownership interests and securities issued may have rights senior to those of the holders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280" w:right="279" w:bottom="1440" w:gutter="0" w:footer="0" w:header="0"/>
        </w:sectPr>
      </w:pPr>
    </w:p>
    <w:bookmarkStart w:id="27" w:name="page28"/>
    <w:bookmarkEnd w:id="27"/>
    <w:p>
      <w:pPr>
        <w:jc w:val="both"/>
        <w:ind w:right="3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our common stock. If additional funds are raised by the issuance of debt securities, we may be subject to certain limitations on our operations. If adequate funds are not available or not available on acceptable terms, we may be unable to take advantage of acquisition opportunities, develop or enhance products or respond to competitive pressures, any of which could have a material adverse effect on our business, financial condition and results of operations.</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Market risk is the risk of potential economic loss principally arising from adverse changes in the fair value of financial instruments. The major components of market risk affecting us are interest rate risk, global credit risk and foreign currency exchange rate risk.</w:t>
      </w:r>
    </w:p>
    <w:p>
      <w:pPr>
        <w:spacing w:after="0" w:line="13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Since December 31, 2010, there have been no material changes in the quantitative or qualitative aspect of our market risk profile. For additional information regarding the Company’s exposure to certain market risks, see Item 7A, “</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 in our 2010 Form 10-K.</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Company maintains disclosure controls and procedures, as defined in Rule 13a-15(e) promulgated under the Securities Exchange Act of 1934 (the “Exchange Act”), that are designed to ensure that information required to be disclosed by the Company in the reports that it files or submits under the Exchange Act is recorded, processed, summarized and reported within the time periods specified in the Securities and Exchange Commission’s rules and forms, and that such information is accumulated and communicated to the Company’s management, including its Chief Executive Officer and Chief Financial Officer, as appropriate, to allow timely decisions regarding required disclosure. The Company carried out an evaluation, under the supervision and with the participation of the Company’s management, including the Company’s Chief Executive Officer and Chief Financial Officer, of the effectiveness of the design and operation of the Company’s disclosure controls and procedures as of September 30, 2011, the end of the period covered by this report. Based on the evaluation of these disclosure controls and procedures, the Company’s Chief Executive Officer and Chief Financial Officer concluded that the Company’s disclosure controls and procedures were effective.</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There were no changes in the Company’s internal control over financial reporting, as defined in Rule 13a-15(f) promulgated under the Exchange Act, during the three months ended September 30, 2011, that have materially affected, or are reasonably likely to materially affect, the Company’s internal control over financial reporting.</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There have been no material developments during the quarter ended September 30, 2011 in the matters previously described under Item 1 of Part II to the Form 10-Q.</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have been no material changes in our risk factors from those disclosed in Item 1A of the Company’s 2010 Form 10-K.</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0"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28"/>
        </w:trPr>
        <w:tc>
          <w:tcPr>
            <w:tcW w:w="800" w:type="dxa"/>
            <w:vAlign w:val="bottom"/>
            <w:gridSpan w:val="2"/>
          </w:tcPr>
          <w:p>
            <w:pPr>
              <w:spacing w:after="0"/>
              <w:rPr>
                <w:sz w:val="20"/>
                <w:szCs w:val="20"/>
                <w:color w:val="auto"/>
              </w:rPr>
            </w:pPr>
            <w:r>
              <w:rPr>
                <w:rFonts w:ascii="Arial" w:cs="Arial" w:eastAsia="Arial" w:hAnsi="Arial"/>
                <w:sz w:val="18"/>
                <w:szCs w:val="18"/>
                <w:b w:val="1"/>
                <w:bCs w:val="1"/>
                <w:color w:val="auto"/>
              </w:rPr>
              <w:t>Item 4.</w:t>
            </w:r>
          </w:p>
        </w:tc>
        <w:tc>
          <w:tcPr>
            <w:tcW w:w="10620" w:type="dxa"/>
            <w:vAlign w:val="bottom"/>
            <w:gridSpan w:val="2"/>
          </w:tcPr>
          <w:p>
            <w:pPr>
              <w:ind w:left="240"/>
              <w:spacing w:after="0"/>
              <w:rPr>
                <w:sz w:val="20"/>
                <w:szCs w:val="20"/>
                <w:color w:val="auto"/>
              </w:rPr>
            </w:pPr>
            <w:r>
              <w:rPr>
                <w:rFonts w:ascii="Arial" w:cs="Arial" w:eastAsia="Arial" w:hAnsi="Arial"/>
                <w:sz w:val="18"/>
                <w:szCs w:val="18"/>
                <w:b w:val="1"/>
                <w:bCs w:val="1"/>
                <w:color w:val="auto"/>
              </w:rPr>
              <w:t>Reserved.</w:t>
            </w:r>
          </w:p>
        </w:tc>
      </w:tr>
      <w:tr>
        <w:trPr>
          <w:trHeight w:val="297"/>
        </w:trPr>
        <w:tc>
          <w:tcPr>
            <w:tcW w:w="800" w:type="dxa"/>
            <w:vAlign w:val="bottom"/>
            <w:gridSpan w:val="2"/>
          </w:tcPr>
          <w:p>
            <w:pPr>
              <w:spacing w:after="0"/>
              <w:rPr>
                <w:sz w:val="20"/>
                <w:szCs w:val="20"/>
                <w:color w:val="auto"/>
              </w:rPr>
            </w:pPr>
            <w:r>
              <w:rPr>
                <w:rFonts w:ascii="Arial" w:cs="Arial" w:eastAsia="Arial" w:hAnsi="Arial"/>
                <w:sz w:val="18"/>
                <w:szCs w:val="18"/>
                <w:b w:val="1"/>
                <w:bCs w:val="1"/>
                <w:color w:val="auto"/>
              </w:rPr>
              <w:t>Item 5.</w:t>
            </w:r>
          </w:p>
        </w:tc>
        <w:tc>
          <w:tcPr>
            <w:tcW w:w="10620" w:type="dxa"/>
            <w:vAlign w:val="bottom"/>
            <w:gridSpan w:val="2"/>
          </w:tcPr>
          <w:p>
            <w:pPr>
              <w:ind w:left="240"/>
              <w:spacing w:after="0"/>
              <w:rPr>
                <w:sz w:val="20"/>
                <w:szCs w:val="20"/>
                <w:color w:val="auto"/>
              </w:rPr>
            </w:pPr>
            <w:r>
              <w:rPr>
                <w:rFonts w:ascii="Arial" w:cs="Arial" w:eastAsia="Arial" w:hAnsi="Arial"/>
                <w:sz w:val="18"/>
                <w:szCs w:val="18"/>
                <w:b w:val="1"/>
                <w:bCs w:val="1"/>
                <w:color w:val="auto"/>
              </w:rPr>
              <w:t>Other Information.</w:t>
            </w:r>
          </w:p>
        </w:tc>
      </w:tr>
      <w:tr>
        <w:trPr>
          <w:trHeight w:val="297"/>
        </w:trPr>
        <w:tc>
          <w:tcPr>
            <w:tcW w:w="80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620" w:type="dxa"/>
            <w:vAlign w:val="bottom"/>
            <w:gridSpan w:val="2"/>
          </w:tcPr>
          <w:p>
            <w:pPr>
              <w:ind w:left="240"/>
              <w:spacing w:after="0"/>
              <w:rPr>
                <w:sz w:val="20"/>
                <w:szCs w:val="20"/>
                <w:color w:val="auto"/>
              </w:rPr>
            </w:pPr>
            <w:r>
              <w:rPr>
                <w:rFonts w:ascii="Arial" w:cs="Arial" w:eastAsia="Arial" w:hAnsi="Arial"/>
                <w:sz w:val="18"/>
                <w:szCs w:val="18"/>
                <w:b w:val="1"/>
                <w:bCs w:val="1"/>
                <w:color w:val="auto"/>
              </w:rPr>
              <w:t>Exhibits.</w:t>
            </w:r>
          </w:p>
        </w:tc>
      </w:tr>
      <w:tr>
        <w:trPr>
          <w:trHeight w:val="340"/>
        </w:trPr>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80" w:type="dxa"/>
            <w:vAlign w:val="bottom"/>
          </w:tcPr>
          <w:p>
            <w:pPr>
              <w:spacing w:after="0"/>
              <w:rPr>
                <w:sz w:val="24"/>
                <w:szCs w:val="24"/>
                <w:color w:val="auto"/>
              </w:rPr>
            </w:pPr>
          </w:p>
        </w:tc>
        <w:tc>
          <w:tcPr>
            <w:tcW w:w="10340" w:type="dxa"/>
            <w:vAlign w:val="bottom"/>
          </w:tcPr>
          <w:p>
            <w:pPr>
              <w:spacing w:after="0"/>
              <w:rPr>
                <w:sz w:val="24"/>
                <w:szCs w:val="24"/>
                <w:color w:val="auto"/>
              </w:rPr>
            </w:pPr>
          </w:p>
        </w:tc>
      </w:tr>
      <w:tr>
        <w:trPr>
          <w:trHeight w:val="161"/>
        </w:trPr>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4"/>
                <w:szCs w:val="14"/>
                <w:color w:val="auto"/>
              </w:rPr>
            </w:pPr>
          </w:p>
        </w:tc>
        <w:tc>
          <w:tcPr>
            <w:tcW w:w="10340" w:type="dxa"/>
            <w:vAlign w:val="bottom"/>
          </w:tcPr>
          <w:p>
            <w:pPr>
              <w:ind w:left="484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50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340" w:type="dxa"/>
            <w:vAlign w:val="bottom"/>
            <w:tcBorders>
              <w:bottom w:val="single" w:sz="8" w:color="auto"/>
            </w:tcBorders>
          </w:tcPr>
          <w:p>
            <w:pPr>
              <w:spacing w:after="0" w:line="20" w:lineRule="exact"/>
              <w:rPr>
                <w:sz w:val="1"/>
                <w:szCs w:val="1"/>
                <w:color w:val="auto"/>
              </w:rPr>
            </w:pPr>
          </w:p>
        </w:tc>
      </w:tr>
      <w:tr>
        <w:trPr>
          <w:trHeight w:val="289"/>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Rule 13a-14(a) Certifications.*</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Rule 13a-14(a) Certifications.*</w:t>
            </w:r>
          </w:p>
        </w:tc>
      </w:tr>
      <w:tr>
        <w:trPr>
          <w:trHeight w:val="338"/>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Section 1350 Certifications.*</w:t>
            </w:r>
          </w:p>
        </w:tc>
      </w:tr>
    </w:tbl>
    <w:p>
      <w:pPr>
        <w:spacing w:after="0" w:line="1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1080" w:right="60" w:hanging="1072"/>
        <w:spacing w:after="0" w:line="306"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following financial statements and footnotes from the Novatel Wireless, Inc. Quarterly Report on Form 10-Q for the quarter ended September 30, 2011 formatted in Extensible Business Reporting Language (XBRL): (i) Consolidated Balance Sheets; (ii) Consolidated Statements of Operations; (iii) Consolidated Statements of Cash Flows; and (iv) the Notes to Consolidated Financial Statements, tagged as blocks of text.</w:t>
      </w:r>
    </w:p>
    <w:p>
      <w:pPr>
        <w:spacing w:after="0" w:line="147" w:lineRule="exact"/>
        <w:rPr>
          <w:sz w:val="20"/>
          <w:szCs w:val="20"/>
          <w:color w:val="auto"/>
        </w:rPr>
      </w:pPr>
    </w:p>
    <w:p>
      <w:pPr>
        <w:ind w:left="220" w:right="180" w:hanging="212"/>
        <w:spacing w:after="0" w:line="268" w:lineRule="auto"/>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information is furnished and not filed for purposes of Sections 11 and 12 of the Securities Act of 1933 and Section 18 of the Securities Exchange Act of 1934.</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29" w:name="page30"/>
    <w:bookmarkEnd w:id="2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Novatel Wireless, Inc.</w:t>
      </w:r>
    </w:p>
    <w:p>
      <w:pPr>
        <w:spacing w:after="0" w:line="225" w:lineRule="exact"/>
        <w:rPr>
          <w:sz w:val="20"/>
          <w:szCs w:val="20"/>
          <w:color w:val="auto"/>
        </w:rPr>
      </w:pPr>
    </w:p>
    <w:p>
      <w:pPr>
        <w:spacing w:after="0"/>
        <w:tabs>
          <w:tab w:leader="none" w:pos="5900" w:val="left"/>
          <w:tab w:leader="none" w:pos="7860" w:val="left"/>
          <w:tab w:leader="none" w:pos="8240" w:val="left"/>
        </w:tabs>
        <w:rPr>
          <w:sz w:val="20"/>
          <w:szCs w:val="20"/>
          <w:color w:val="auto"/>
        </w:rPr>
      </w:pPr>
      <w:r>
        <w:rPr>
          <w:rFonts w:ascii="Arial" w:cs="Arial" w:eastAsia="Arial" w:hAnsi="Arial"/>
          <w:sz w:val="18"/>
          <w:szCs w:val="18"/>
          <w:color w:val="auto"/>
        </w:rPr>
        <w:t>Date: November 9,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P</w:t>
      </w:r>
      <w:r>
        <w:rPr>
          <w:rFonts w:ascii="Arial" w:cs="Arial" w:eastAsia="Arial" w:hAnsi="Arial"/>
          <w:sz w:val="13"/>
          <w:szCs w:val="13"/>
          <w:color w:val="auto"/>
        </w:rPr>
        <w:t>ETER</w:t>
      </w:r>
      <w:r>
        <w:rPr>
          <w:rFonts w:ascii="Arial" w:cs="Arial" w:eastAsia="Arial" w:hAnsi="Arial"/>
          <w:sz w:val="16"/>
          <w:szCs w:val="16"/>
          <w:color w:val="auto"/>
        </w:rPr>
        <w:t xml:space="preserve"> L</w:t>
      </w:r>
      <w:r>
        <w:rPr>
          <w:rFonts w:ascii="Arial" w:cs="Arial" w:eastAsia="Arial" w:hAnsi="Arial"/>
          <w:sz w:val="13"/>
          <w:szCs w:val="13"/>
          <w:color w:val="auto"/>
        </w:rPr>
        <w:t>EPARULO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jc w:val="center"/>
        <w:ind w:left="6300"/>
        <w:spacing w:after="0"/>
        <w:rPr>
          <w:sz w:val="20"/>
          <w:szCs w:val="20"/>
          <w:color w:val="auto"/>
        </w:rPr>
      </w:pPr>
      <w:r>
        <w:rPr>
          <w:rFonts w:ascii="Arial" w:cs="Arial" w:eastAsia="Arial" w:hAnsi="Arial"/>
          <w:sz w:val="14"/>
          <w:szCs w:val="14"/>
          <w:b w:val="1"/>
          <w:bCs w:val="1"/>
          <w:color w:val="auto"/>
        </w:rPr>
        <w:t>Peter Leparulo</w:t>
      </w:r>
    </w:p>
    <w:p>
      <w:pPr>
        <w:spacing w:after="0" w:line="1" w:lineRule="exact"/>
        <w:rPr>
          <w:sz w:val="20"/>
          <w:szCs w:val="20"/>
          <w:color w:val="auto"/>
        </w:rPr>
      </w:pPr>
    </w:p>
    <w:p>
      <w:pPr>
        <w:jc w:val="center"/>
        <w:ind w:left="6300"/>
        <w:spacing w:after="0"/>
        <w:rPr>
          <w:sz w:val="20"/>
          <w:szCs w:val="20"/>
          <w:color w:val="auto"/>
        </w:rPr>
      </w:pPr>
      <w:r>
        <w:rPr>
          <w:rFonts w:ascii="Arial" w:cs="Arial" w:eastAsia="Arial" w:hAnsi="Arial"/>
          <w:sz w:val="14"/>
          <w:szCs w:val="14"/>
          <w:b w:val="1"/>
          <w:bCs w:val="1"/>
          <w:color w:val="auto"/>
        </w:rPr>
        <w:t>Chairman and Chief Executive Officer</w:t>
      </w:r>
    </w:p>
    <w:p>
      <w:pPr>
        <w:spacing w:after="0" w:line="195" w:lineRule="exact"/>
        <w:rPr>
          <w:sz w:val="20"/>
          <w:szCs w:val="20"/>
          <w:color w:val="auto"/>
        </w:rPr>
      </w:pPr>
    </w:p>
    <w:p>
      <w:pPr>
        <w:spacing w:after="0"/>
        <w:tabs>
          <w:tab w:leader="none" w:pos="5900" w:val="left"/>
          <w:tab w:leader="none" w:pos="7820" w:val="left"/>
          <w:tab w:leader="none" w:pos="8180" w:val="left"/>
        </w:tabs>
        <w:rPr>
          <w:sz w:val="20"/>
          <w:szCs w:val="20"/>
          <w:color w:val="auto"/>
        </w:rPr>
      </w:pPr>
      <w:r>
        <w:rPr>
          <w:rFonts w:ascii="Arial" w:cs="Arial" w:eastAsia="Arial" w:hAnsi="Arial"/>
          <w:sz w:val="18"/>
          <w:szCs w:val="18"/>
          <w:color w:val="auto"/>
        </w:rPr>
        <w:t>Date: November 9,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K</w:t>
      </w:r>
      <w:r>
        <w:rPr>
          <w:rFonts w:ascii="Arial" w:cs="Arial" w:eastAsia="Arial" w:hAnsi="Arial"/>
          <w:sz w:val="14"/>
          <w:szCs w:val="14"/>
          <w:color w:val="auto"/>
        </w:rPr>
        <w:t>ENNETH</w:t>
      </w:r>
      <w:r>
        <w:rPr>
          <w:rFonts w:ascii="Arial" w:cs="Arial" w:eastAsia="Arial" w:hAnsi="Arial"/>
          <w:sz w:val="18"/>
          <w:szCs w:val="18"/>
          <w:color w:val="auto"/>
        </w:rPr>
        <w:t xml:space="preserve"> L</w:t>
      </w:r>
      <w:r>
        <w:rPr>
          <w:rFonts w:ascii="Arial" w:cs="Arial" w:eastAsia="Arial" w:hAnsi="Arial"/>
          <w:sz w:val="14"/>
          <w:szCs w:val="14"/>
          <w:color w:val="auto"/>
        </w:rPr>
        <w:t>EDDON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jc w:val="center"/>
        <w:ind w:left="6300"/>
        <w:spacing w:after="0"/>
        <w:rPr>
          <w:sz w:val="20"/>
          <w:szCs w:val="20"/>
          <w:color w:val="auto"/>
        </w:rPr>
      </w:pPr>
      <w:r>
        <w:rPr>
          <w:rFonts w:ascii="Arial" w:cs="Arial" w:eastAsia="Arial" w:hAnsi="Arial"/>
          <w:sz w:val="14"/>
          <w:szCs w:val="14"/>
          <w:b w:val="1"/>
          <w:bCs w:val="1"/>
          <w:color w:val="auto"/>
        </w:rPr>
        <w:t>Kenneth Leddon</w:t>
      </w:r>
    </w:p>
    <w:p>
      <w:pPr>
        <w:spacing w:after="0" w:line="1" w:lineRule="exact"/>
        <w:rPr>
          <w:sz w:val="20"/>
          <w:szCs w:val="20"/>
          <w:color w:val="auto"/>
        </w:rPr>
      </w:pPr>
    </w:p>
    <w:p>
      <w:pPr>
        <w:jc w:val="center"/>
        <w:ind w:left="6300"/>
        <w:spacing w:after="0"/>
        <w:rPr>
          <w:sz w:val="20"/>
          <w:szCs w:val="20"/>
          <w:color w:val="auto"/>
        </w:rPr>
      </w:pPr>
      <w:r>
        <w:rPr>
          <w:rFonts w:ascii="Arial" w:cs="Arial" w:eastAsia="Arial" w:hAnsi="Arial"/>
          <w:sz w:val="14"/>
          <w:szCs w:val="14"/>
          <w:b w:val="1"/>
          <w:bCs w:val="1"/>
          <w:color w:val="auto"/>
        </w:rPr>
        <w:t>Senior Vice President and Chief Financial Officer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74" w:right="25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Peter Leparulo, certify that:</w:t>
      </w:r>
    </w:p>
    <w:p>
      <w:pPr>
        <w:spacing w:after="0" w:line="171" w:lineRule="exact"/>
        <w:rPr>
          <w:sz w:val="20"/>
          <w:szCs w:val="20"/>
          <w:color w:val="auto"/>
        </w:rPr>
      </w:pPr>
    </w:p>
    <w:p>
      <w:pPr>
        <w:ind w:left="640" w:hanging="17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Novatel Wireless,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left="900" w:right="60" w:hanging="446"/>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460" w:firstLine="464"/>
        <w:spacing w:after="0" w:line="332" w:lineRule="auto"/>
        <w:tabs>
          <w:tab w:leader="none" w:pos="632"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sz w:val="20"/>
          <w:szCs w:val="20"/>
          <w:color w:val="auto"/>
        </w:rPr>
      </w:pPr>
    </w:p>
    <w:p>
      <w:pPr>
        <w:ind w:left="900" w:right="2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P</w:t>
      </w:r>
      <w:r>
        <w:rPr>
          <w:rFonts w:ascii="Arial" w:cs="Arial" w:eastAsia="Arial" w:hAnsi="Arial"/>
          <w:sz w:val="14"/>
          <w:szCs w:val="14"/>
          <w:color w:val="auto"/>
        </w:rPr>
        <w:t>ETER</w:t>
      </w:r>
      <w:r>
        <w:rPr>
          <w:rFonts w:ascii="Arial" w:cs="Arial" w:eastAsia="Arial" w:hAnsi="Arial"/>
          <w:sz w:val="18"/>
          <w:szCs w:val="18"/>
          <w:color w:val="auto"/>
        </w:rPr>
        <w:t xml:space="preserve"> L</w:t>
      </w:r>
      <w:r>
        <w:rPr>
          <w:rFonts w:ascii="Arial" w:cs="Arial" w:eastAsia="Arial" w:hAnsi="Arial"/>
          <w:sz w:val="14"/>
          <w:szCs w:val="14"/>
          <w:color w:val="auto"/>
        </w:rPr>
        <w:t>EPARULO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Peter Leparulo</w:t>
      </w:r>
    </w:p>
    <w:p>
      <w:pPr>
        <w:spacing w:after="0" w:line="21"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Chairman and Chief Executive Officer</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(principal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2011</w:t>
      </w:r>
    </w:p>
    <w:p>
      <w:pPr>
        <w:sectPr>
          <w:pgSz w:w="11900" w:h="16838" w:orient="portrait"/>
          <w:cols w:equalWidth="0" w:num="1">
            <w:col w:w="11420"/>
          </w:cols>
          <w:pgMar w:left="240" w:top="125"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Kenneth Leddon, certify that:</w:t>
      </w:r>
    </w:p>
    <w:p>
      <w:pPr>
        <w:spacing w:after="0" w:line="171" w:lineRule="exact"/>
        <w:rPr>
          <w:sz w:val="20"/>
          <w:szCs w:val="20"/>
          <w:color w:val="auto"/>
        </w:rPr>
      </w:pPr>
    </w:p>
    <w:p>
      <w:pPr>
        <w:ind w:left="640" w:hanging="17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Novatel Wireless,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left="900" w:right="60" w:hanging="446"/>
        <w:spacing w:after="0" w:line="25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460" w:firstLine="464"/>
        <w:spacing w:after="0" w:line="332" w:lineRule="auto"/>
        <w:tabs>
          <w:tab w:leader="none" w:pos="632"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sz w:val="20"/>
          <w:szCs w:val="20"/>
          <w:color w:val="auto"/>
        </w:rPr>
      </w:pPr>
    </w:p>
    <w:p>
      <w:pPr>
        <w:ind w:left="900" w:right="2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K</w:t>
      </w:r>
      <w:r>
        <w:rPr>
          <w:rFonts w:ascii="Arial" w:cs="Arial" w:eastAsia="Arial" w:hAnsi="Arial"/>
          <w:sz w:val="14"/>
          <w:szCs w:val="14"/>
          <w:color w:val="auto"/>
        </w:rPr>
        <w:t>ENNETH</w:t>
      </w:r>
      <w:r>
        <w:rPr>
          <w:rFonts w:ascii="Arial" w:cs="Arial" w:eastAsia="Arial" w:hAnsi="Arial"/>
          <w:sz w:val="18"/>
          <w:szCs w:val="18"/>
          <w:color w:val="auto"/>
        </w:rPr>
        <w:t xml:space="preserve"> L</w:t>
      </w:r>
      <w:r>
        <w:rPr>
          <w:rFonts w:ascii="Arial" w:cs="Arial" w:eastAsia="Arial" w:hAnsi="Arial"/>
          <w:sz w:val="14"/>
          <w:szCs w:val="14"/>
          <w:color w:val="auto"/>
        </w:rPr>
        <w:t>EDDON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Kenneth Leddon</w:t>
      </w:r>
    </w:p>
    <w:p>
      <w:pPr>
        <w:spacing w:after="0" w:line="21"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(principal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2011</w:t>
      </w:r>
    </w:p>
    <w:p>
      <w:pPr>
        <w:sectPr>
          <w:pgSz w:w="11900" w:h="16838" w:orient="portrait"/>
          <w:cols w:equalWidth="0" w:num="1">
            <w:col w:w="11420"/>
          </w:cols>
          <w:pgMar w:left="240" w:top="125"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connection with the Quarterly Report of Novatel Wireless Inc. (the “Company”) on Form 10-Q for the period ended September 30, 2011, as filed with the Securities and Exchange Commission on the date hereof (the “Report”), Peter Leparulo, Chairman and Chief Executive Officer of the Company, and Kenneth Leddon, Senior Vice President and Chief Financial Officer of the Company, do each hereby certify, pursuant to 18 U.S.C. § 1350, as adopted pursuant to § 906 of the Sarbanes-Oxley Act of 2002, that, to the best of his knowledge:</w:t>
      </w:r>
    </w:p>
    <w:p>
      <w:pPr>
        <w:spacing w:after="0" w:line="143" w:lineRule="exact"/>
        <w:rPr>
          <w:sz w:val="20"/>
          <w:szCs w:val="20"/>
          <w:color w:val="auto"/>
        </w:rPr>
      </w:pPr>
    </w:p>
    <w:p>
      <w:pPr>
        <w:ind w:left="640" w:hanging="17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tabs>
          <w:tab w:leader="none" w:pos="7720" w:val="left"/>
        </w:tabs>
        <w:rPr>
          <w:sz w:val="20"/>
          <w:szCs w:val="20"/>
          <w:color w:val="auto"/>
        </w:rPr>
      </w:pPr>
      <w:r>
        <w:rPr>
          <w:rFonts w:ascii="Arial" w:cs="Arial" w:eastAsia="Arial" w:hAnsi="Arial"/>
          <w:sz w:val="18"/>
          <w:szCs w:val="18"/>
          <w:color w:val="auto"/>
        </w:rPr>
        <w:t>Date: November 9, 2011</w:t>
      </w:r>
      <w:r>
        <w:rPr>
          <w:sz w:val="20"/>
          <w:szCs w:val="20"/>
          <w:color w:val="auto"/>
        </w:rPr>
        <w:tab/>
      </w:r>
      <w:r>
        <w:rPr>
          <w:rFonts w:ascii="Arial" w:cs="Arial" w:eastAsia="Arial" w:hAnsi="Arial"/>
          <w:sz w:val="14"/>
          <w:szCs w:val="14"/>
          <w:color w:val="auto"/>
        </w:rPr>
        <w:t>/s/ P</w:t>
      </w:r>
      <w:r>
        <w:rPr>
          <w:rFonts w:ascii="Arial" w:cs="Arial" w:eastAsia="Arial" w:hAnsi="Arial"/>
          <w:sz w:val="21"/>
          <w:szCs w:val="21"/>
          <w:color w:val="auto"/>
          <w:vertAlign w:val="superscript"/>
        </w:rPr>
        <w:t>ETER</w:t>
      </w:r>
      <w:r>
        <w:rPr>
          <w:rFonts w:ascii="Arial" w:cs="Arial" w:eastAsia="Arial" w:hAnsi="Arial"/>
          <w:sz w:val="14"/>
          <w:szCs w:val="14"/>
          <w:color w:val="auto"/>
        </w:rPr>
        <w:t xml:space="preserve"> L</w:t>
      </w:r>
      <w:r>
        <w:rPr>
          <w:rFonts w:ascii="Arial" w:cs="Arial" w:eastAsia="Arial" w:hAnsi="Arial"/>
          <w:sz w:val="21"/>
          <w:szCs w:val="21"/>
          <w:color w:val="auto"/>
          <w:vertAlign w:val="superscript"/>
        </w:rPr>
        <w:t>EPARULO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-10160</wp:posOffset>
            </wp:positionV>
            <wp:extent cx="355028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jc w:val="center"/>
        <w:ind w:left="5820"/>
        <w:spacing w:after="0"/>
        <w:rPr>
          <w:sz w:val="20"/>
          <w:szCs w:val="20"/>
          <w:color w:val="auto"/>
        </w:rPr>
      </w:pPr>
      <w:r>
        <w:rPr>
          <w:rFonts w:ascii="Arial" w:cs="Arial" w:eastAsia="Arial" w:hAnsi="Arial"/>
          <w:sz w:val="18"/>
          <w:szCs w:val="18"/>
          <w:b w:val="1"/>
          <w:bCs w:val="1"/>
          <w:color w:val="auto"/>
        </w:rPr>
        <w:t>Peter Leparulo</w:t>
      </w:r>
    </w:p>
    <w:p>
      <w:pPr>
        <w:spacing w:after="0" w:line="1"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Chairman and Chief Executive Officer</w:t>
      </w:r>
    </w:p>
    <w:p>
      <w:pPr>
        <w:spacing w:after="0" w:line="219"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/s/ K</w:t>
      </w:r>
      <w:r>
        <w:rPr>
          <w:rFonts w:ascii="Arial" w:cs="Arial" w:eastAsia="Arial" w:hAnsi="Arial"/>
          <w:sz w:val="14"/>
          <w:szCs w:val="14"/>
          <w:color w:val="auto"/>
        </w:rPr>
        <w:t>ENNETH</w:t>
      </w:r>
      <w:r>
        <w:rPr>
          <w:rFonts w:ascii="Arial" w:cs="Arial" w:eastAsia="Arial" w:hAnsi="Arial"/>
          <w:sz w:val="18"/>
          <w:szCs w:val="18"/>
          <w:color w:val="auto"/>
        </w:rPr>
        <w:t xml:space="preserve"> L</w:t>
      </w:r>
      <w:r>
        <w:rPr>
          <w:rFonts w:ascii="Arial" w:cs="Arial" w:eastAsia="Arial" w:hAnsi="Arial"/>
          <w:sz w:val="14"/>
          <w:szCs w:val="14"/>
          <w:color w:val="auto"/>
        </w:rPr>
        <w:t>EDDON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0"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Kenneth Leddon</w:t>
      </w:r>
    </w:p>
    <w:p>
      <w:pPr>
        <w:spacing w:after="0" w:line="21"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Senior Vice President and 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decimal"/>
      <w:start w:val="3"/>
    </w:lvl>
  </w:abstractNum>
  <w:abstractNum w:abstractNumId="4">
    <w:nsid w:val="109CF92E"/>
    <w:multiLevelType w:val="hybridMultilevel"/>
    <w:lvl w:ilvl="0">
      <w:lvlJc w:val="left"/>
      <w:lvlText w:val="(%1)"/>
      <w:numFmt w:val="lowerRoman"/>
      <w:start w:val="1"/>
    </w:lvl>
  </w:abstractNum>
  <w:abstractNum w:abstractNumId="5">
    <w:nsid w:val="DED7263"/>
    <w:multiLevelType w:val="hybridMultilevel"/>
    <w:lvl w:ilvl="0">
      <w:lvlJc w:val="left"/>
      <w:lvlText w:val="%1."/>
      <w:numFmt w:val="decimal"/>
      <w:start w:val="8"/>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1."/>
      <w:numFmt w:val="decimal"/>
      <w:start w:val="10"/>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10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lowerLetter"/>
      <w:start w:val="1"/>
    </w:lvl>
  </w:abstractNum>
  <w:abstractNum w:abstractNumId="15">
    <w:nsid w:val="7C83E458"/>
    <w:multiLevelType w:val="hybridMultilevel"/>
    <w:lvl w:ilvl="0">
      <w:lvlJc w:val="left"/>
      <w:lvlText w:val="%1."/>
      <w:numFmt w:val="decimal"/>
      <w:start w:val="5"/>
    </w:lvl>
  </w:abstractNum>
  <w:abstractNum w:abstractNumId="16">
    <w:nsid w:val="257130A3"/>
    <w:multiLevelType w:val="hybridMultilevel"/>
    <w:lvl w:ilvl="0">
      <w:lvlJc w:val="left"/>
      <w:lvlText w:val="(%1)"/>
      <w:numFmt w:val="lowerLetter"/>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lowerLetter"/>
      <w:start w:val="1"/>
    </w:lvl>
  </w:abstractNum>
  <w:abstractNum w:abstractNumId="19">
    <w:nsid w:val="628C895D"/>
    <w:multiLevelType w:val="hybridMultilevel"/>
    <w:lvl w:ilvl="0">
      <w:lvlJc w:val="left"/>
      <w:lvlText w:val="%1."/>
      <w:numFmt w:val="decimal"/>
      <w:start w:val="5"/>
    </w:lvl>
  </w:abstractNum>
  <w:abstractNum w:abstractNumId="20">
    <w:nsid w:val="333AB105"/>
    <w:multiLevelType w:val="hybridMultilevel"/>
    <w:lvl w:ilvl="0">
      <w:lvlJc w:val="left"/>
      <w:lvlText w:val="(%1)"/>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2019-12-10T15:58:46Z</dcterms:created>
  <dcterms:modified xsi:type="dcterms:W3CDTF">2019-12-10T15:58:46Z</dcterms:modified>
</cp:coreProperties>
</file>